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95" w:rsidRPr="00092995" w:rsidRDefault="00092995" w:rsidP="004C1583">
      <w:pPr>
        <w:pStyle w:val="Default"/>
        <w:spacing w:line="276" w:lineRule="auto"/>
        <w:ind w:left="2592"/>
        <w:jc w:val="center"/>
      </w:pPr>
      <w:r>
        <w:t xml:space="preserve">    </w:t>
      </w:r>
      <w:r w:rsidRPr="00092995">
        <w:t xml:space="preserve">PATVIRTINTA </w:t>
      </w:r>
    </w:p>
    <w:p w:rsidR="00092995" w:rsidRPr="00092995" w:rsidRDefault="00BF4F6F" w:rsidP="004C1583">
      <w:pPr>
        <w:pStyle w:val="Default"/>
        <w:spacing w:line="276" w:lineRule="auto"/>
        <w:ind w:left="3888" w:firstLine="1296"/>
        <w:jc w:val="center"/>
      </w:pPr>
      <w:r>
        <w:t xml:space="preserve"> </w:t>
      </w:r>
      <w:r w:rsidR="006100FB">
        <w:t xml:space="preserve"> </w:t>
      </w:r>
      <w:r w:rsidR="00092995" w:rsidRPr="00092995">
        <w:t>Utenos rajono savivaldybės administracijos</w:t>
      </w:r>
    </w:p>
    <w:p w:rsidR="00092995" w:rsidRPr="00092995" w:rsidRDefault="00092995" w:rsidP="004C1583">
      <w:pPr>
        <w:pStyle w:val="Default"/>
        <w:spacing w:line="276" w:lineRule="auto"/>
        <w:jc w:val="right"/>
      </w:pPr>
      <w:r>
        <w:t xml:space="preserve"> </w:t>
      </w:r>
      <w:r w:rsidRPr="00092995">
        <w:t>Švietimo, sporto ir jaunimo reikalų skyriaus</w:t>
      </w:r>
    </w:p>
    <w:p w:rsidR="00092995" w:rsidRPr="00092995" w:rsidRDefault="00092995" w:rsidP="004C1583">
      <w:pPr>
        <w:pStyle w:val="Default"/>
        <w:spacing w:line="276" w:lineRule="auto"/>
        <w:jc w:val="center"/>
      </w:pPr>
      <w:r>
        <w:t xml:space="preserve">          </w:t>
      </w:r>
      <w:r>
        <w:tab/>
      </w:r>
      <w:r>
        <w:tab/>
      </w:r>
      <w:r>
        <w:tab/>
        <w:t xml:space="preserve">           </w:t>
      </w:r>
      <w:r w:rsidR="00BF4F6F">
        <w:t xml:space="preserve">  </w:t>
      </w:r>
      <w:r w:rsidR="006100FB">
        <w:t xml:space="preserve"> </w:t>
      </w:r>
      <w:r>
        <w:t xml:space="preserve"> </w:t>
      </w:r>
      <w:r w:rsidR="00A22C1D">
        <w:t xml:space="preserve"> </w:t>
      </w:r>
      <w:r>
        <w:t>v</w:t>
      </w:r>
      <w:r w:rsidRPr="00092995">
        <w:t>edėjo 2019</w:t>
      </w:r>
      <w:r w:rsidR="006100FB">
        <w:t>-</w:t>
      </w:r>
      <w:r w:rsidR="00BF4F6F">
        <w:t>0</w:t>
      </w:r>
      <w:r w:rsidR="00BF4F6F">
        <w:rPr>
          <w:lang w:val="en-US"/>
        </w:rPr>
        <w:t>3</w:t>
      </w:r>
      <w:r w:rsidR="006100FB">
        <w:t>-</w:t>
      </w:r>
      <w:r w:rsidR="00BF4F6F">
        <w:t>26</w:t>
      </w:r>
      <w:r>
        <w:t xml:space="preserve"> į</w:t>
      </w:r>
      <w:r w:rsidRPr="00092995">
        <w:t>sakymu</w:t>
      </w:r>
      <w:r>
        <w:t xml:space="preserve"> </w:t>
      </w:r>
      <w:r w:rsidRPr="00092995">
        <w:t>Nr.</w:t>
      </w:r>
      <w:r>
        <w:t xml:space="preserve"> </w:t>
      </w:r>
      <w:r w:rsidRPr="00092995">
        <w:t>V</w:t>
      </w:r>
      <w:r w:rsidR="00BF4F6F">
        <w:t>– 4</w:t>
      </w:r>
    </w:p>
    <w:p w:rsidR="00092995" w:rsidRDefault="00092995" w:rsidP="00092995">
      <w:pPr>
        <w:pStyle w:val="Default"/>
        <w:spacing w:line="360" w:lineRule="auto"/>
        <w:jc w:val="center"/>
        <w:rPr>
          <w:b/>
        </w:rPr>
      </w:pPr>
    </w:p>
    <w:p w:rsidR="0044088F" w:rsidRPr="0044088F" w:rsidRDefault="0044088F" w:rsidP="00092995">
      <w:pPr>
        <w:pStyle w:val="Default"/>
        <w:spacing w:line="360" w:lineRule="auto"/>
        <w:jc w:val="center"/>
        <w:rPr>
          <w:b/>
        </w:rPr>
      </w:pPr>
      <w:r w:rsidRPr="0044088F">
        <w:rPr>
          <w:b/>
        </w:rPr>
        <w:t xml:space="preserve">UTENOS </w:t>
      </w:r>
      <w:r w:rsidR="0066542D" w:rsidRPr="0044088F">
        <w:rPr>
          <w:b/>
        </w:rPr>
        <w:t xml:space="preserve"> RAJONO SAVIVALDYBĖS </w:t>
      </w:r>
      <w:r w:rsidR="005C29A2">
        <w:rPr>
          <w:b/>
        </w:rPr>
        <w:t xml:space="preserve"> </w:t>
      </w:r>
      <w:r w:rsidR="005C29A2">
        <w:rPr>
          <w:b/>
          <w:lang w:val="en-US"/>
        </w:rPr>
        <w:t xml:space="preserve">2018 M.  </w:t>
      </w:r>
      <w:r w:rsidR="0066542D" w:rsidRPr="0044088F">
        <w:rPr>
          <w:b/>
        </w:rPr>
        <w:t xml:space="preserve">ŠVIETIMO </w:t>
      </w:r>
      <w:r w:rsidR="005C29A2">
        <w:rPr>
          <w:b/>
        </w:rPr>
        <w:t xml:space="preserve"> BŪKLĖS IR </w:t>
      </w:r>
      <w:r w:rsidR="0066542D" w:rsidRPr="0044088F">
        <w:rPr>
          <w:b/>
        </w:rPr>
        <w:t>PAŽANGOS ATASKAITA</w:t>
      </w:r>
    </w:p>
    <w:p w:rsidR="0044088F" w:rsidRPr="0044088F" w:rsidRDefault="0044088F" w:rsidP="00092995">
      <w:pPr>
        <w:pStyle w:val="Default"/>
        <w:spacing w:line="360" w:lineRule="auto"/>
        <w:jc w:val="center"/>
        <w:rPr>
          <w:b/>
        </w:rPr>
      </w:pPr>
    </w:p>
    <w:p w:rsidR="0044088F" w:rsidRDefault="0044088F" w:rsidP="004C1583">
      <w:pPr>
        <w:pStyle w:val="Default"/>
        <w:tabs>
          <w:tab w:val="left" w:pos="567"/>
        </w:tabs>
        <w:spacing w:line="276" w:lineRule="auto"/>
        <w:jc w:val="both"/>
      </w:pPr>
      <w:r>
        <w:tab/>
        <w:t xml:space="preserve">Utenos rajono savivaldybės </w:t>
      </w:r>
      <w:r w:rsidR="00B8763F">
        <w:t>2018</w:t>
      </w:r>
      <w:r>
        <w:t xml:space="preserve"> metų švietimo pažangos ataskaita parengta atsižvelgiant į </w:t>
      </w:r>
      <w:r w:rsidRPr="0044088F">
        <w:t xml:space="preserve">Lietuvos Respublikos Seimo patvirtintos </w:t>
      </w:r>
      <w:r>
        <w:t>Valstybinės švietimo 2013–2022 metų strategijos II prioritetinę kryptį „Švietimo kokybės kultūra“</w:t>
      </w:r>
      <w:r w:rsidR="00B8763F">
        <w:t xml:space="preserve">, kur </w:t>
      </w:r>
      <w:r w:rsidRPr="0044088F">
        <w:t>numatytose veiklos kryptyse pažymėta, jog mokyklų savininko teises ir pareigas įgyvendinanč</w:t>
      </w:r>
      <w:r w:rsidR="006058C3">
        <w:t>ios institucijos</w:t>
      </w:r>
      <w:r w:rsidR="00B8763F">
        <w:t xml:space="preserve"> turi </w:t>
      </w:r>
      <w:r w:rsidRPr="0044088F">
        <w:t xml:space="preserve">numatyti </w:t>
      </w:r>
      <w:r w:rsidR="00B8763F">
        <w:t xml:space="preserve">ir planuoti </w:t>
      </w:r>
      <w:r w:rsidRPr="0044088F">
        <w:t>metinės pažangos</w:t>
      </w:r>
      <w:r>
        <w:t xml:space="preserve"> </w:t>
      </w:r>
      <w:r w:rsidRPr="0044088F">
        <w:t xml:space="preserve">skelbimą. </w:t>
      </w:r>
      <w:r>
        <w:t xml:space="preserve">Ataskaita parengta </w:t>
      </w:r>
      <w:r w:rsidR="00B8763F">
        <w:t xml:space="preserve">atsižvelgiant į </w:t>
      </w:r>
      <w:r>
        <w:t>Geros mokyklos koncepcijos nuostat</w:t>
      </w:r>
      <w:r w:rsidR="00B8763F">
        <w:t>as</w:t>
      </w:r>
      <w:r>
        <w:t>, Utenos rajono savivaldybė</w:t>
      </w:r>
      <w:r w:rsidR="00B8763F">
        <w:t xml:space="preserve">s švietimo </w:t>
      </w:r>
      <w:proofErr w:type="spellStart"/>
      <w:r w:rsidR="00B8763F">
        <w:t>stebėsenos</w:t>
      </w:r>
      <w:proofErr w:type="spellEnd"/>
      <w:r w:rsidR="00B8763F">
        <w:t xml:space="preserve"> rodiklius</w:t>
      </w:r>
      <w:r>
        <w:t>, bendrojo ugdymo mokyklų veiklos kokybės įsivertinimo</w:t>
      </w:r>
      <w:r w:rsidR="00B8763F">
        <w:t xml:space="preserve"> ataskaitas</w:t>
      </w:r>
      <w:r>
        <w:t>, ŠVIS</w:t>
      </w:r>
      <w:r w:rsidR="00B8763F">
        <w:t>, B</w:t>
      </w:r>
      <w:r>
        <w:t xml:space="preserve">randos egzaminų, Pagrindinio ugdymo pasiekimų patikrinimo, Nacionalinio mokinių pasiekimų patikrinimo ir Utenos rajono savivaldybės  administracijos </w:t>
      </w:r>
      <w:r w:rsidR="00375C67">
        <w:t>turim</w:t>
      </w:r>
      <w:r w:rsidR="006058C3">
        <w:t>us</w:t>
      </w:r>
      <w:r>
        <w:t xml:space="preserve"> duomenis. </w:t>
      </w:r>
    </w:p>
    <w:p w:rsidR="00375C67" w:rsidRDefault="00375C67" w:rsidP="004C1583">
      <w:pPr>
        <w:pStyle w:val="Default"/>
        <w:tabs>
          <w:tab w:val="left" w:pos="567"/>
        </w:tabs>
        <w:spacing w:line="276" w:lineRule="auto"/>
        <w:jc w:val="both"/>
        <w:rPr>
          <w:rFonts w:eastAsia="Times New Roman"/>
          <w:bCs/>
          <w:lang w:eastAsia="lt-LT"/>
        </w:rPr>
      </w:pPr>
      <w:r>
        <w:rPr>
          <w:color w:val="auto"/>
        </w:rPr>
        <w:tab/>
      </w:r>
      <w:r w:rsidRPr="00870956">
        <w:t xml:space="preserve">Utenos rajono savivaldybės </w:t>
      </w:r>
      <w:r>
        <w:t xml:space="preserve">švietimo prioritetas - </w:t>
      </w:r>
      <w:r w:rsidRPr="00870956">
        <w:t>plėtoti šiuolaikišką, modernią švietimo sistemą, užtikri</w:t>
      </w:r>
      <w:r>
        <w:t xml:space="preserve">nant ugdymo kokybę ir užimtumą. </w:t>
      </w:r>
      <w:r w:rsidR="00B8763F">
        <w:t xml:space="preserve">Utenos rajono </w:t>
      </w:r>
      <w:r>
        <w:t>savivaldybė</w:t>
      </w:r>
      <w:r w:rsidR="000E5155">
        <w:t>s</w:t>
      </w:r>
      <w:r>
        <w:t xml:space="preserve"> tarybo</w:t>
      </w:r>
      <w:r w:rsidR="000E5155">
        <w:t>s</w:t>
      </w:r>
      <w:r w:rsidR="000E5155" w:rsidRPr="000E5155">
        <w:t xml:space="preserve"> </w:t>
      </w:r>
      <w:r w:rsidR="000E5155">
        <w:t>patvirtinti</w:t>
      </w:r>
      <w:r w:rsidR="000E5155" w:rsidRPr="000E5155">
        <w:t xml:space="preserve"> </w:t>
      </w:r>
      <w:r w:rsidR="000E5155">
        <w:t xml:space="preserve">pagrindiniai dokumentai, kuriais </w:t>
      </w:r>
      <w:r>
        <w:t xml:space="preserve">vadovaujantis </w:t>
      </w:r>
      <w:r w:rsidR="00B8763F" w:rsidRPr="00CD309F">
        <w:rPr>
          <w:rFonts w:eastAsia="Times New Roman"/>
          <w:bCs/>
          <w:lang w:eastAsia="lt-LT"/>
        </w:rPr>
        <w:t xml:space="preserve">tobulinama </w:t>
      </w:r>
      <w:r w:rsidR="00B8763F">
        <w:rPr>
          <w:rFonts w:eastAsia="Times New Roman"/>
          <w:bCs/>
          <w:lang w:eastAsia="lt-LT"/>
        </w:rPr>
        <w:t xml:space="preserve">Utenos rajono </w:t>
      </w:r>
      <w:r w:rsidR="006058C3">
        <w:rPr>
          <w:rFonts w:eastAsia="Times New Roman"/>
          <w:bCs/>
          <w:lang w:eastAsia="lt-LT"/>
        </w:rPr>
        <w:t xml:space="preserve">savivaldybės </w:t>
      </w:r>
      <w:r w:rsidR="00B8763F">
        <w:rPr>
          <w:rFonts w:eastAsia="Times New Roman"/>
          <w:bCs/>
          <w:lang w:eastAsia="lt-LT"/>
        </w:rPr>
        <w:t>švietimo sistema</w:t>
      </w:r>
      <w:r w:rsidR="006058C3">
        <w:rPr>
          <w:rFonts w:eastAsia="Times New Roman"/>
          <w:bCs/>
          <w:lang w:eastAsia="lt-LT"/>
        </w:rPr>
        <w:t>,</w:t>
      </w:r>
      <w:r w:rsidR="00B8763F">
        <w:rPr>
          <w:rFonts w:eastAsia="Times New Roman"/>
          <w:bCs/>
          <w:lang w:eastAsia="lt-LT"/>
        </w:rPr>
        <w:t xml:space="preserve"> </w:t>
      </w:r>
      <w:r w:rsidR="00B8763F" w:rsidRPr="00CD309F">
        <w:rPr>
          <w:rFonts w:eastAsia="Times New Roman"/>
          <w:bCs/>
          <w:lang w:eastAsia="lt-LT"/>
        </w:rPr>
        <w:t>U</w:t>
      </w:r>
      <w:r w:rsidR="00B8763F" w:rsidRPr="00CD309F">
        <w:rPr>
          <w:rFonts w:eastAsia="Times New Roman"/>
          <w:lang w:eastAsia="lt-LT"/>
        </w:rPr>
        <w:t>tenos rajono savivaldybės strategin</w:t>
      </w:r>
      <w:r w:rsidR="00B8763F">
        <w:rPr>
          <w:rFonts w:eastAsia="Times New Roman"/>
          <w:lang w:eastAsia="lt-LT"/>
        </w:rPr>
        <w:t>is plėtros planas</w:t>
      </w:r>
      <w:r w:rsidR="00B8763F" w:rsidRPr="00CD309F">
        <w:rPr>
          <w:rFonts w:eastAsia="Times New Roman"/>
          <w:lang w:eastAsia="lt-LT"/>
        </w:rPr>
        <w:t xml:space="preserve"> 201</w:t>
      </w:r>
      <w:r w:rsidR="00B8763F">
        <w:rPr>
          <w:rFonts w:eastAsia="Times New Roman"/>
          <w:lang w:eastAsia="lt-LT"/>
        </w:rPr>
        <w:t>8</w:t>
      </w:r>
      <w:r w:rsidR="00B8763F" w:rsidRPr="00CD309F">
        <w:rPr>
          <w:rFonts w:eastAsia="Times New Roman"/>
          <w:lang w:eastAsia="lt-LT"/>
        </w:rPr>
        <w:t>-2024 metams</w:t>
      </w:r>
      <w:r w:rsidR="00B8763F">
        <w:rPr>
          <w:rFonts w:eastAsia="Times New Roman"/>
          <w:lang w:eastAsia="lt-LT"/>
        </w:rPr>
        <w:t xml:space="preserve">, Utenos rajono savivaldybės strateginis veiklos planas </w:t>
      </w:r>
      <w:r w:rsidR="00B8763F">
        <w:rPr>
          <w:rFonts w:eastAsia="Times New Roman"/>
          <w:lang w:val="en-US" w:eastAsia="lt-LT"/>
        </w:rPr>
        <w:t>2018-</w:t>
      </w:r>
      <w:r w:rsidR="00B8763F" w:rsidRPr="005C29A2">
        <w:rPr>
          <w:rFonts w:eastAsia="Times New Roman"/>
          <w:lang w:eastAsia="lt-LT"/>
        </w:rPr>
        <w:t>2020 metams</w:t>
      </w:r>
      <w:r w:rsidR="00B8763F" w:rsidRPr="00CD309F">
        <w:rPr>
          <w:rFonts w:eastAsia="Times New Roman"/>
          <w:lang w:eastAsia="lt-LT"/>
        </w:rPr>
        <w:t xml:space="preserve"> i</w:t>
      </w:r>
      <w:r w:rsidR="00B8763F" w:rsidRPr="00CD309F">
        <w:rPr>
          <w:rFonts w:eastAsia="Times New Roman"/>
          <w:bCs/>
          <w:lang w:eastAsia="lt-LT"/>
        </w:rPr>
        <w:t>r Utenos rajono savivaldybės bendrojo ugdymo mokyklų tinklo pe</w:t>
      </w:r>
      <w:r w:rsidR="000E5155">
        <w:rPr>
          <w:rFonts w:eastAsia="Times New Roman"/>
          <w:bCs/>
          <w:lang w:eastAsia="lt-LT"/>
        </w:rPr>
        <w:t>rtvarkos planas</w:t>
      </w:r>
      <w:r w:rsidR="00B8763F">
        <w:rPr>
          <w:rFonts w:eastAsia="Times New Roman"/>
          <w:bCs/>
          <w:lang w:eastAsia="lt-LT"/>
        </w:rPr>
        <w:t xml:space="preserve"> 2015-2020 metams.</w:t>
      </w:r>
    </w:p>
    <w:p w:rsidR="00B15EAF" w:rsidRDefault="005C29A2" w:rsidP="004C1583">
      <w:pPr>
        <w:tabs>
          <w:tab w:val="left" w:pos="567"/>
        </w:tabs>
        <w:spacing w:after="0" w:line="276" w:lineRule="auto"/>
        <w:ind w:firstLine="567"/>
        <w:jc w:val="both"/>
        <w:rPr>
          <w:rFonts w:ascii="Times New Roman" w:hAnsi="Times New Roman" w:cs="Times New Roman"/>
          <w:sz w:val="24"/>
          <w:szCs w:val="24"/>
        </w:rPr>
      </w:pPr>
      <w:r w:rsidRPr="00B15EAF">
        <w:rPr>
          <w:rFonts w:ascii="Times New Roman" w:eastAsia="Times New Roman" w:hAnsi="Times New Roman" w:cs="Times New Roman"/>
          <w:bCs/>
          <w:sz w:val="24"/>
          <w:szCs w:val="24"/>
          <w:lang w:eastAsia="lt-LT"/>
        </w:rPr>
        <w:t xml:space="preserve">2017-2018  m. m.  Utenos rajono savivaldybės bendrojo ugdymo mokyklose mokėsi </w:t>
      </w:r>
      <w:r w:rsidRPr="00B15EAF">
        <w:rPr>
          <w:rFonts w:ascii="Times New Roman" w:eastAsia="Times New Roman" w:hAnsi="Times New Roman" w:cs="Times New Roman"/>
          <w:bCs/>
          <w:sz w:val="24"/>
          <w:szCs w:val="24"/>
          <w:lang w:val="en-US" w:eastAsia="lt-LT"/>
        </w:rPr>
        <w:t>3</w:t>
      </w:r>
      <w:r w:rsidR="00B15EAF" w:rsidRPr="00B15EAF">
        <w:rPr>
          <w:rFonts w:ascii="Times New Roman" w:eastAsia="Times New Roman" w:hAnsi="Times New Roman" w:cs="Times New Roman"/>
          <w:bCs/>
          <w:sz w:val="24"/>
          <w:szCs w:val="24"/>
          <w:lang w:val="en-US" w:eastAsia="lt-LT"/>
        </w:rPr>
        <w:t>911</w:t>
      </w:r>
      <w:r w:rsidRPr="00B15EAF">
        <w:rPr>
          <w:rFonts w:ascii="Times New Roman" w:eastAsia="Times New Roman" w:hAnsi="Times New Roman" w:cs="Times New Roman"/>
          <w:bCs/>
          <w:sz w:val="24"/>
          <w:szCs w:val="24"/>
          <w:lang w:val="en-US" w:eastAsia="lt-LT"/>
        </w:rPr>
        <w:t xml:space="preserve"> </w:t>
      </w:r>
      <w:proofErr w:type="spellStart"/>
      <w:r w:rsidRPr="00B15EAF">
        <w:rPr>
          <w:rFonts w:ascii="Times New Roman" w:eastAsia="Times New Roman" w:hAnsi="Times New Roman" w:cs="Times New Roman"/>
          <w:bCs/>
          <w:sz w:val="24"/>
          <w:szCs w:val="24"/>
          <w:lang w:val="en-US" w:eastAsia="lt-LT"/>
        </w:rPr>
        <w:t>mokini</w:t>
      </w:r>
      <w:proofErr w:type="spellEnd"/>
      <w:r w:rsidRPr="00B15EAF">
        <w:rPr>
          <w:rFonts w:ascii="Times New Roman" w:eastAsia="Times New Roman" w:hAnsi="Times New Roman" w:cs="Times New Roman"/>
          <w:bCs/>
          <w:sz w:val="24"/>
          <w:szCs w:val="24"/>
          <w:lang w:eastAsia="lt-LT"/>
        </w:rPr>
        <w:t xml:space="preserve">ų, </w:t>
      </w:r>
      <w:r w:rsidR="000E5155">
        <w:rPr>
          <w:rFonts w:ascii="Times New Roman" w:eastAsia="Times New Roman" w:hAnsi="Times New Roman" w:cs="Times New Roman"/>
          <w:bCs/>
          <w:sz w:val="24"/>
          <w:szCs w:val="24"/>
          <w:lang w:eastAsia="lt-LT"/>
        </w:rPr>
        <w:t xml:space="preserve"> o </w:t>
      </w:r>
      <w:r w:rsidRPr="00B15EAF">
        <w:rPr>
          <w:rFonts w:ascii="Times New Roman" w:eastAsia="Times New Roman" w:hAnsi="Times New Roman" w:cs="Times New Roman"/>
          <w:bCs/>
          <w:sz w:val="24"/>
          <w:szCs w:val="24"/>
          <w:lang w:eastAsia="lt-LT"/>
        </w:rPr>
        <w:t xml:space="preserve">ikimokyklinio ugdymo įstaigose </w:t>
      </w:r>
      <w:r w:rsidR="000E5155">
        <w:rPr>
          <w:rFonts w:ascii="Times New Roman" w:eastAsia="Times New Roman" w:hAnsi="Times New Roman" w:cs="Times New Roman"/>
          <w:bCs/>
          <w:sz w:val="24"/>
          <w:szCs w:val="24"/>
          <w:lang w:eastAsia="lt-LT"/>
        </w:rPr>
        <w:t xml:space="preserve">- </w:t>
      </w:r>
      <w:r w:rsidR="00B15EAF" w:rsidRPr="00B15EAF">
        <w:rPr>
          <w:rFonts w:ascii="Times New Roman" w:eastAsia="Times New Roman" w:hAnsi="Times New Roman" w:cs="Times New Roman"/>
          <w:bCs/>
          <w:sz w:val="24"/>
          <w:szCs w:val="24"/>
          <w:lang w:eastAsia="lt-LT"/>
        </w:rPr>
        <w:t>1154 vaikai</w:t>
      </w:r>
      <w:r w:rsidR="000E5155">
        <w:rPr>
          <w:rFonts w:ascii="Times New Roman" w:eastAsia="Times New Roman" w:hAnsi="Times New Roman" w:cs="Times New Roman"/>
          <w:bCs/>
          <w:sz w:val="24"/>
          <w:szCs w:val="24"/>
          <w:lang w:eastAsia="lt-LT"/>
        </w:rPr>
        <w:t>. S</w:t>
      </w:r>
      <w:r w:rsidR="00B15EAF" w:rsidRPr="00B15EAF">
        <w:rPr>
          <w:rFonts w:ascii="Times New Roman" w:eastAsia="Times New Roman" w:hAnsi="Times New Roman" w:cs="Times New Roman"/>
          <w:bCs/>
          <w:sz w:val="24"/>
          <w:szCs w:val="24"/>
          <w:lang w:eastAsia="lt-LT"/>
        </w:rPr>
        <w:t>avivaldybėje veikė</w:t>
      </w:r>
      <w:r w:rsidR="00B15EAF" w:rsidRPr="00B15EAF">
        <w:rPr>
          <w:rFonts w:ascii="Times New Roman" w:eastAsia="Times New Roman" w:hAnsi="Times New Roman" w:cs="Times New Roman"/>
          <w:bCs/>
          <w:sz w:val="24"/>
          <w:szCs w:val="24"/>
          <w:lang w:val="en-US" w:eastAsia="lt-LT"/>
        </w:rPr>
        <w:t xml:space="preserve"> 25 </w:t>
      </w:r>
      <w:proofErr w:type="spellStart"/>
      <w:r w:rsidR="00B15EAF" w:rsidRPr="00B15EAF">
        <w:rPr>
          <w:rFonts w:ascii="Times New Roman" w:eastAsia="Times New Roman" w:hAnsi="Times New Roman" w:cs="Times New Roman"/>
          <w:bCs/>
          <w:sz w:val="24"/>
          <w:szCs w:val="24"/>
          <w:lang w:val="en-US" w:eastAsia="lt-LT"/>
        </w:rPr>
        <w:t>švietimo</w:t>
      </w:r>
      <w:proofErr w:type="spellEnd"/>
      <w:r w:rsidR="00B15EAF" w:rsidRPr="00B15EAF">
        <w:rPr>
          <w:rFonts w:ascii="Times New Roman" w:eastAsia="Times New Roman" w:hAnsi="Times New Roman" w:cs="Times New Roman"/>
          <w:bCs/>
          <w:sz w:val="24"/>
          <w:szCs w:val="24"/>
          <w:lang w:val="en-US" w:eastAsia="lt-LT"/>
        </w:rPr>
        <w:t xml:space="preserve"> </w:t>
      </w:r>
      <w:proofErr w:type="spellStart"/>
      <w:r w:rsidR="00B15EAF" w:rsidRPr="00B15EAF">
        <w:rPr>
          <w:rFonts w:ascii="Times New Roman" w:eastAsia="Times New Roman" w:hAnsi="Times New Roman" w:cs="Times New Roman"/>
          <w:bCs/>
          <w:sz w:val="24"/>
          <w:szCs w:val="24"/>
          <w:lang w:val="en-US" w:eastAsia="lt-LT"/>
        </w:rPr>
        <w:t>įstaigos</w:t>
      </w:r>
      <w:proofErr w:type="spellEnd"/>
      <w:r w:rsidR="00B15EAF" w:rsidRPr="00B15EAF">
        <w:rPr>
          <w:rFonts w:ascii="Times New Roman" w:eastAsia="Times New Roman" w:hAnsi="Times New Roman" w:cs="Times New Roman"/>
          <w:bCs/>
          <w:sz w:val="24"/>
          <w:szCs w:val="24"/>
          <w:lang w:val="en-US" w:eastAsia="lt-LT"/>
        </w:rPr>
        <w:t>:</w:t>
      </w:r>
      <w:r w:rsidR="00B15EAF" w:rsidRPr="00B15EAF">
        <w:rPr>
          <w:rFonts w:ascii="Times New Roman" w:eastAsiaTheme="minorEastAsia" w:hAnsi="Times New Roman" w:cs="Times New Roman"/>
          <w:color w:val="000000" w:themeColor="text1"/>
          <w:kern w:val="24"/>
          <w:sz w:val="24"/>
          <w:szCs w:val="24"/>
          <w:lang w:eastAsia="lt-LT"/>
        </w:rPr>
        <w:t xml:space="preserve"> </w:t>
      </w:r>
      <w:r w:rsidR="00B15EAF" w:rsidRPr="00B15EAF">
        <w:rPr>
          <w:rFonts w:ascii="Times New Roman" w:hAnsi="Times New Roman" w:cs="Times New Roman"/>
          <w:sz w:val="24"/>
          <w:szCs w:val="24"/>
        </w:rPr>
        <w:t>4 gimnazijos, 4 progimnazijos, 3 pagrindinės  (viena iš jų – specialiojo ugdymo) ir 3 pradinės mokyklos</w:t>
      </w:r>
      <w:r w:rsidR="000E5155">
        <w:rPr>
          <w:rFonts w:ascii="Times New Roman" w:hAnsi="Times New Roman" w:cs="Times New Roman"/>
          <w:sz w:val="24"/>
          <w:szCs w:val="24"/>
        </w:rPr>
        <w:t xml:space="preserve"> ( 2 - mokyklos- vaikų darželiai), v</w:t>
      </w:r>
      <w:r w:rsidR="00B15EAF" w:rsidRPr="00B15EAF">
        <w:rPr>
          <w:rFonts w:ascii="Times New Roman" w:hAnsi="Times New Roman" w:cs="Times New Roman"/>
          <w:sz w:val="24"/>
          <w:szCs w:val="24"/>
        </w:rPr>
        <w:t>eikia 6 ikimokyklinio ugdymo, 4 neformaliojo vaikų švietimo</w:t>
      </w:r>
      <w:r w:rsidR="00B15EAF">
        <w:rPr>
          <w:rFonts w:ascii="Times New Roman" w:hAnsi="Times New Roman" w:cs="Times New Roman"/>
          <w:sz w:val="24"/>
          <w:szCs w:val="24"/>
        </w:rPr>
        <w:t xml:space="preserve"> mokyklos bei </w:t>
      </w:r>
      <w:r w:rsidR="00B15EAF">
        <w:rPr>
          <w:rFonts w:ascii="Times New Roman" w:hAnsi="Times New Roman" w:cs="Times New Roman"/>
          <w:sz w:val="24"/>
          <w:szCs w:val="24"/>
          <w:lang w:val="en-US"/>
        </w:rPr>
        <w:t>1</w:t>
      </w:r>
      <w:r w:rsidR="00B15EAF" w:rsidRPr="00B15EAF">
        <w:rPr>
          <w:rFonts w:ascii="Times New Roman" w:hAnsi="Times New Roman" w:cs="Times New Roman"/>
          <w:sz w:val="24"/>
          <w:szCs w:val="24"/>
        </w:rPr>
        <w:t xml:space="preserve"> pagalbos mokyklai, mokytojui ir mokiniui švietimo įstaig</w:t>
      </w:r>
      <w:r w:rsidR="00B15EAF">
        <w:rPr>
          <w:rFonts w:ascii="Times New Roman" w:hAnsi="Times New Roman" w:cs="Times New Roman"/>
          <w:sz w:val="24"/>
          <w:szCs w:val="24"/>
        </w:rPr>
        <w:t>a.</w:t>
      </w:r>
      <w:r w:rsidR="00B15EAF" w:rsidRPr="00B15EAF">
        <w:rPr>
          <w:rFonts w:ascii="Times New Roman" w:hAnsi="Times New Roman" w:cs="Times New Roman"/>
          <w:sz w:val="24"/>
          <w:szCs w:val="24"/>
        </w:rPr>
        <w:t xml:space="preserve"> Ikimokyklinio ir priešmokyklinio ugdymo programas vykdė 14 Utenos rajono savival</w:t>
      </w:r>
      <w:r w:rsidR="00092995">
        <w:rPr>
          <w:rFonts w:ascii="Times New Roman" w:hAnsi="Times New Roman" w:cs="Times New Roman"/>
          <w:sz w:val="24"/>
          <w:szCs w:val="24"/>
        </w:rPr>
        <w:t xml:space="preserve">dybės švietimo įstaigų (kaimo gimnazija,  pagrindinės  mokyklos, </w:t>
      </w:r>
      <w:proofErr w:type="spellStart"/>
      <w:r w:rsidR="00092995">
        <w:rPr>
          <w:rFonts w:ascii="Times New Roman" w:hAnsi="Times New Roman" w:cs="Times New Roman"/>
          <w:sz w:val="24"/>
          <w:szCs w:val="24"/>
        </w:rPr>
        <w:t>daugiafunkcis</w:t>
      </w:r>
      <w:proofErr w:type="spellEnd"/>
      <w:r w:rsidR="00092995">
        <w:rPr>
          <w:rFonts w:ascii="Times New Roman" w:hAnsi="Times New Roman" w:cs="Times New Roman"/>
          <w:sz w:val="24"/>
          <w:szCs w:val="24"/>
        </w:rPr>
        <w:t xml:space="preserve"> centras, mokyklos</w:t>
      </w:r>
      <w:r w:rsidR="006058C3">
        <w:rPr>
          <w:rFonts w:ascii="Times New Roman" w:hAnsi="Times New Roman" w:cs="Times New Roman"/>
          <w:sz w:val="24"/>
          <w:szCs w:val="24"/>
        </w:rPr>
        <w:t xml:space="preserve"> </w:t>
      </w:r>
      <w:r w:rsidR="00092995">
        <w:rPr>
          <w:rFonts w:ascii="Times New Roman" w:hAnsi="Times New Roman" w:cs="Times New Roman"/>
          <w:sz w:val="24"/>
          <w:szCs w:val="24"/>
        </w:rPr>
        <w:t xml:space="preserve">-darželiai ir ikimokyklinio ugdymo institucijos) </w:t>
      </w:r>
    </w:p>
    <w:p w:rsidR="004C1583" w:rsidRPr="00B15EAF" w:rsidRDefault="004C1583" w:rsidP="004C1583">
      <w:pPr>
        <w:tabs>
          <w:tab w:val="left" w:pos="567"/>
        </w:tabs>
        <w:spacing w:after="0" w:line="276" w:lineRule="auto"/>
        <w:ind w:firstLine="567"/>
        <w:jc w:val="both"/>
        <w:rPr>
          <w:rFonts w:ascii="Times New Roman" w:hAnsi="Times New Roman" w:cs="Times New Roman"/>
          <w:sz w:val="24"/>
          <w:szCs w:val="24"/>
        </w:rPr>
      </w:pPr>
      <w:r w:rsidRPr="00030B02">
        <w:rPr>
          <w:rFonts w:ascii="Times New Roman" w:eastAsia="Calibri" w:hAnsi="Times New Roman" w:cs="Times New Roman"/>
          <w:sz w:val="24"/>
          <w:szCs w:val="24"/>
        </w:rPr>
        <w:t>Utenos rajono savivaldybės administracijos Švietimo, sporto ir jaunimo reikalų skyrius, įgyvendindamas skyriaus nuostatuose nustatytas funkcijas, administracijos direktoriaus pavedimus ir įpareigojimus, vykdė įvairias veiklas, bendradarbiavo su savivaldybės administracijos struktūriniais padaliniais. Kaip ir ankstesniais metais, vienas svarbiausių skyriaus uždavinių – koordinuoti ir administruoti Utenos  rajono savivaldybei pavaldžių mokyklų ir pagalbos mokiniui, mokytojui ir mokyklai įstaigų veiklą.</w:t>
      </w:r>
    </w:p>
    <w:p w:rsidR="005C29A2" w:rsidRDefault="005C29A2" w:rsidP="004C1583">
      <w:pPr>
        <w:pStyle w:val="Default"/>
        <w:tabs>
          <w:tab w:val="left" w:pos="567"/>
        </w:tabs>
        <w:spacing w:line="276" w:lineRule="auto"/>
        <w:jc w:val="both"/>
        <w:rPr>
          <w:rFonts w:eastAsia="Times New Roman"/>
          <w:bCs/>
          <w:lang w:eastAsia="lt-LT"/>
        </w:rPr>
      </w:pPr>
      <w:r>
        <w:rPr>
          <w:rFonts w:eastAsia="Times New Roman"/>
          <w:bCs/>
          <w:lang w:eastAsia="lt-LT"/>
        </w:rPr>
        <w:tab/>
      </w:r>
    </w:p>
    <w:p w:rsidR="00092995" w:rsidRDefault="00092995" w:rsidP="001E13DA">
      <w:pPr>
        <w:pStyle w:val="Default"/>
        <w:sectPr w:rsidR="00092995">
          <w:pgSz w:w="11906" w:h="16838"/>
          <w:pgMar w:top="1701" w:right="567" w:bottom="1134" w:left="1701" w:header="567" w:footer="567" w:gutter="0"/>
          <w:cols w:space="1296"/>
          <w:docGrid w:linePitch="360"/>
        </w:sectPr>
      </w:pPr>
    </w:p>
    <w:p w:rsidR="00092995" w:rsidRDefault="00092995" w:rsidP="001E13DA">
      <w:pPr>
        <w:pStyle w:val="Default"/>
        <w:tabs>
          <w:tab w:val="left" w:pos="567"/>
        </w:tabs>
        <w:jc w:val="center"/>
      </w:pPr>
    </w:p>
    <w:p w:rsidR="00092995" w:rsidRDefault="00092995" w:rsidP="001E13DA">
      <w:pPr>
        <w:pStyle w:val="Default"/>
        <w:tabs>
          <w:tab w:val="left" w:pos="567"/>
        </w:tabs>
        <w:jc w:val="center"/>
        <w:rPr>
          <w:b/>
        </w:rPr>
      </w:pPr>
      <w:r w:rsidRPr="00092995">
        <w:rPr>
          <w:b/>
        </w:rPr>
        <w:t>ŠVIETIMO KONTEKSTAS</w:t>
      </w:r>
    </w:p>
    <w:p w:rsidR="00092995" w:rsidRDefault="00092995" w:rsidP="001E13DA">
      <w:pPr>
        <w:pStyle w:val="Default"/>
        <w:tabs>
          <w:tab w:val="left" w:pos="567"/>
        </w:tabs>
        <w:jc w:val="center"/>
        <w:rPr>
          <w:b/>
        </w:rPr>
      </w:pPr>
    </w:p>
    <w:tbl>
      <w:tblPr>
        <w:tblStyle w:val="Lentelstinklelis"/>
        <w:tblW w:w="14567" w:type="dxa"/>
        <w:tblLook w:val="04A0" w:firstRow="1" w:lastRow="0" w:firstColumn="1" w:lastColumn="0" w:noHBand="0" w:noVBand="1"/>
      </w:tblPr>
      <w:tblGrid>
        <w:gridCol w:w="1576"/>
        <w:gridCol w:w="2360"/>
        <w:gridCol w:w="5244"/>
        <w:gridCol w:w="5387"/>
      </w:tblGrid>
      <w:tr w:rsidR="00B307A4" w:rsidTr="003E4B24">
        <w:trPr>
          <w:trHeight w:val="309"/>
        </w:trPr>
        <w:tc>
          <w:tcPr>
            <w:tcW w:w="1576" w:type="dxa"/>
          </w:tcPr>
          <w:p w:rsidR="00092995" w:rsidRPr="002143D8" w:rsidRDefault="00BF4F6F" w:rsidP="001E13DA">
            <w:pPr>
              <w:pStyle w:val="Default"/>
              <w:tabs>
                <w:tab w:val="left" w:pos="567"/>
              </w:tabs>
              <w:jc w:val="center"/>
            </w:pPr>
            <w:r w:rsidRPr="002143D8">
              <w:t>Rodiklis</w:t>
            </w:r>
          </w:p>
        </w:tc>
        <w:tc>
          <w:tcPr>
            <w:tcW w:w="2360" w:type="dxa"/>
          </w:tcPr>
          <w:p w:rsidR="00092995" w:rsidRPr="002143D8" w:rsidRDefault="00BF4F6F" w:rsidP="001E13DA">
            <w:pPr>
              <w:pStyle w:val="Default"/>
              <w:tabs>
                <w:tab w:val="left" w:pos="567"/>
              </w:tabs>
              <w:jc w:val="center"/>
              <w:rPr>
                <w:lang w:val="en-US"/>
              </w:rPr>
            </w:pPr>
            <w:r w:rsidRPr="002143D8">
              <w:t>Siekinys 2020 m.</w:t>
            </w:r>
          </w:p>
        </w:tc>
        <w:tc>
          <w:tcPr>
            <w:tcW w:w="5244" w:type="dxa"/>
          </w:tcPr>
          <w:p w:rsidR="00092995" w:rsidRPr="002143D8" w:rsidRDefault="00BF4F6F" w:rsidP="001E13DA">
            <w:pPr>
              <w:pStyle w:val="Default"/>
              <w:tabs>
                <w:tab w:val="left" w:pos="567"/>
              </w:tabs>
              <w:jc w:val="center"/>
            </w:pPr>
            <w:r w:rsidRPr="002143D8">
              <w:t>Pasiektas rezultatas 2018 m.</w:t>
            </w:r>
          </w:p>
        </w:tc>
        <w:tc>
          <w:tcPr>
            <w:tcW w:w="5387" w:type="dxa"/>
          </w:tcPr>
          <w:p w:rsidR="00092995" w:rsidRPr="002143D8" w:rsidRDefault="004C1583" w:rsidP="00B307A4">
            <w:pPr>
              <w:pStyle w:val="Default"/>
              <w:tabs>
                <w:tab w:val="left" w:pos="567"/>
              </w:tabs>
              <w:jc w:val="center"/>
            </w:pPr>
            <w:r w:rsidRPr="002143D8">
              <w:t>Iš</w:t>
            </w:r>
            <w:r w:rsidR="00B307A4" w:rsidRPr="002143D8">
              <w:t>vados ir</w:t>
            </w:r>
            <w:r w:rsidRPr="002143D8">
              <w:t xml:space="preserve"> komentaras</w:t>
            </w:r>
          </w:p>
        </w:tc>
      </w:tr>
      <w:tr w:rsidR="003E4B24" w:rsidTr="003E4B24">
        <w:trPr>
          <w:trHeight w:val="1335"/>
        </w:trPr>
        <w:tc>
          <w:tcPr>
            <w:tcW w:w="1576" w:type="dxa"/>
            <w:vMerge w:val="restart"/>
          </w:tcPr>
          <w:p w:rsidR="003E4B24" w:rsidRPr="004C1583" w:rsidRDefault="003E4B24" w:rsidP="00BA0985">
            <w:pPr>
              <w:pStyle w:val="Default"/>
              <w:tabs>
                <w:tab w:val="left" w:pos="567"/>
              </w:tabs>
            </w:pPr>
            <w:r>
              <w:t>Švietimo įstaigų</w:t>
            </w:r>
            <w:r w:rsidRPr="004C1583">
              <w:t xml:space="preserve"> tinklo pe</w:t>
            </w:r>
            <w:r>
              <w:t>r</w:t>
            </w:r>
            <w:r w:rsidRPr="004C1583">
              <w:t>tvarka</w:t>
            </w:r>
          </w:p>
        </w:tc>
        <w:tc>
          <w:tcPr>
            <w:tcW w:w="2360" w:type="dxa"/>
            <w:vMerge w:val="restart"/>
          </w:tcPr>
          <w:p w:rsidR="003E4B24" w:rsidRDefault="003E4B24" w:rsidP="0007768C">
            <w:pPr>
              <w:pStyle w:val="Default"/>
              <w:tabs>
                <w:tab w:val="left" w:pos="567"/>
              </w:tabs>
            </w:pPr>
            <w:r>
              <w:t xml:space="preserve">Maksimali rodiklio reikšmė - </w:t>
            </w:r>
            <w:r>
              <w:rPr>
                <w:lang w:val="en-US"/>
              </w:rPr>
              <w:t>100 proc.</w:t>
            </w:r>
            <w:r>
              <w:t xml:space="preserve"> </w:t>
            </w:r>
          </w:p>
          <w:p w:rsidR="003E4B24" w:rsidRDefault="003E4B24" w:rsidP="0007768C">
            <w:pPr>
              <w:pStyle w:val="Default"/>
              <w:tabs>
                <w:tab w:val="left" w:pos="567"/>
              </w:tabs>
            </w:pPr>
          </w:p>
          <w:p w:rsidR="003E4B24" w:rsidRPr="0007768C" w:rsidRDefault="003E4B24" w:rsidP="0007768C">
            <w:pPr>
              <w:pStyle w:val="Default"/>
              <w:tabs>
                <w:tab w:val="left" w:pos="567"/>
              </w:tabs>
              <w:rPr>
                <w:lang w:val="en-US"/>
              </w:rPr>
            </w:pPr>
            <w:r w:rsidRPr="0007768C">
              <w:t>Prieinamumo ir lygių galimybių užtikrinimas</w:t>
            </w:r>
            <w:r>
              <w:t xml:space="preserve"> - </w:t>
            </w:r>
            <w:r>
              <w:rPr>
                <w:lang w:val="en-US"/>
              </w:rPr>
              <w:t>100 proc.</w:t>
            </w:r>
          </w:p>
        </w:tc>
        <w:tc>
          <w:tcPr>
            <w:tcW w:w="5244" w:type="dxa"/>
          </w:tcPr>
          <w:p w:rsidR="003E4B24" w:rsidRDefault="003E4B24" w:rsidP="00B307A4">
            <w:pPr>
              <w:pStyle w:val="Default"/>
              <w:tabs>
                <w:tab w:val="left" w:pos="567"/>
              </w:tabs>
              <w:jc w:val="both"/>
            </w:pPr>
            <w:r>
              <w:t>B</w:t>
            </w:r>
            <w:r w:rsidRPr="00030B02">
              <w:t>endrojo ugdymo mokyklų tinklo pertvarkos</w:t>
            </w:r>
            <w:r>
              <w:t xml:space="preserve">  </w:t>
            </w:r>
            <w:r>
              <w:rPr>
                <w:lang w:val="en-US"/>
              </w:rPr>
              <w:t xml:space="preserve">2016-2020 </w:t>
            </w:r>
            <w:proofErr w:type="spellStart"/>
            <w:r>
              <w:rPr>
                <w:lang w:val="en-US"/>
              </w:rPr>
              <w:t>metams</w:t>
            </w:r>
            <w:proofErr w:type="spellEnd"/>
            <w:r>
              <w:rPr>
                <w:lang w:val="en-US"/>
              </w:rPr>
              <w:t xml:space="preserve"> </w:t>
            </w:r>
            <w:r>
              <w:t xml:space="preserve">plano priemonės įgyvendinamos 100 proc. Kasmet vykdoma bendrojo plano </w:t>
            </w:r>
            <w:proofErr w:type="spellStart"/>
            <w:r>
              <w:t>stebėsena</w:t>
            </w:r>
            <w:proofErr w:type="spellEnd"/>
            <w:r>
              <w:t>, koreguotas planas teikiamas  tvirtin</w:t>
            </w:r>
            <w:r w:rsidR="000E5155">
              <w:t>ti Utenos rajono savivaldybės taryb</w:t>
            </w:r>
            <w:r w:rsidR="006058C3">
              <w:t>ai.</w:t>
            </w:r>
          </w:p>
          <w:p w:rsidR="003E4B24" w:rsidRPr="0007768C" w:rsidRDefault="003E4B24" w:rsidP="00B307A4">
            <w:pPr>
              <w:pStyle w:val="Default"/>
              <w:tabs>
                <w:tab w:val="left" w:pos="567"/>
              </w:tabs>
              <w:jc w:val="both"/>
              <w:rPr>
                <w:b/>
              </w:rPr>
            </w:pPr>
          </w:p>
        </w:tc>
        <w:tc>
          <w:tcPr>
            <w:tcW w:w="5387" w:type="dxa"/>
          </w:tcPr>
          <w:p w:rsidR="003E4B24" w:rsidRDefault="003E4B24" w:rsidP="00B307A4">
            <w:pPr>
              <w:pStyle w:val="Default"/>
              <w:tabs>
                <w:tab w:val="left" w:pos="567"/>
              </w:tabs>
              <w:jc w:val="both"/>
              <w:rPr>
                <w:b/>
              </w:rPr>
            </w:pPr>
            <w:r w:rsidRPr="00030B02">
              <w:t>2018 m. bendrojo ugdymo mokyklų tinklas nebuvo numatytas pertvarkyti.</w:t>
            </w:r>
            <w:r>
              <w:t xml:space="preserve"> </w:t>
            </w:r>
            <w:r>
              <w:rPr>
                <w:rFonts w:eastAsia="Times New Roman"/>
                <w:lang w:eastAsia="ar-SA"/>
              </w:rPr>
              <w:t>Užtikrinant teikiamų švietimo paslaugų  koordinavimą, Utenos rajono pedagoginė psichologinė</w:t>
            </w:r>
            <w:r w:rsidRPr="00030B02">
              <w:rPr>
                <w:rFonts w:eastAsia="Times New Roman"/>
                <w:lang w:eastAsia="ar-SA"/>
              </w:rPr>
              <w:t xml:space="preserve"> tarnyb</w:t>
            </w:r>
            <w:r>
              <w:rPr>
                <w:rFonts w:eastAsia="Times New Roman"/>
                <w:lang w:eastAsia="ar-SA"/>
              </w:rPr>
              <w:t>a</w:t>
            </w:r>
            <w:r w:rsidRPr="00030B02">
              <w:rPr>
                <w:rFonts w:eastAsia="Times New Roman"/>
                <w:lang w:eastAsia="ar-SA"/>
              </w:rPr>
              <w:t xml:space="preserve"> </w:t>
            </w:r>
            <w:r w:rsidRPr="00030B02">
              <w:rPr>
                <w:rFonts w:eastAsia="Lucida Sans Unicode"/>
                <w:kern w:val="1"/>
                <w:lang w:eastAsia="hi-IN" w:bidi="hi-IN"/>
              </w:rPr>
              <w:t>prijung</w:t>
            </w:r>
            <w:r>
              <w:rPr>
                <w:rFonts w:eastAsia="Lucida Sans Unicode"/>
                <w:kern w:val="1"/>
                <w:lang w:eastAsia="hi-IN" w:bidi="hi-IN"/>
              </w:rPr>
              <w:t>ta prie Utenos švietimo centro.</w:t>
            </w:r>
          </w:p>
        </w:tc>
      </w:tr>
      <w:tr w:rsidR="003E4B24" w:rsidTr="003E4B24">
        <w:trPr>
          <w:trHeight w:val="1581"/>
        </w:trPr>
        <w:tc>
          <w:tcPr>
            <w:tcW w:w="1576" w:type="dxa"/>
            <w:vMerge/>
          </w:tcPr>
          <w:p w:rsidR="003E4B24" w:rsidRDefault="003E4B24" w:rsidP="00BA0985">
            <w:pPr>
              <w:pStyle w:val="Default"/>
              <w:tabs>
                <w:tab w:val="left" w:pos="567"/>
              </w:tabs>
            </w:pPr>
          </w:p>
        </w:tc>
        <w:tc>
          <w:tcPr>
            <w:tcW w:w="2360" w:type="dxa"/>
            <w:vMerge/>
          </w:tcPr>
          <w:p w:rsidR="003E4B24" w:rsidRDefault="003E4B24" w:rsidP="0007768C">
            <w:pPr>
              <w:pStyle w:val="Default"/>
              <w:tabs>
                <w:tab w:val="left" w:pos="567"/>
              </w:tabs>
            </w:pPr>
          </w:p>
        </w:tc>
        <w:tc>
          <w:tcPr>
            <w:tcW w:w="5244" w:type="dxa"/>
          </w:tcPr>
          <w:p w:rsidR="003E4B24" w:rsidRDefault="003E4B24" w:rsidP="000E5155">
            <w:pPr>
              <w:pStyle w:val="Default"/>
              <w:tabs>
                <w:tab w:val="left" w:pos="567"/>
              </w:tabs>
              <w:jc w:val="both"/>
            </w:pPr>
            <w:r>
              <w:t xml:space="preserve">Užtikrinamos lygios pradžios mokymosi galimybės. </w:t>
            </w:r>
            <w:r w:rsidR="000E5155">
              <w:rPr>
                <w:lang w:val="en-US"/>
              </w:rPr>
              <w:t>0</w:t>
            </w:r>
            <w:r>
              <w:rPr>
                <w:lang w:val="en-US"/>
              </w:rPr>
              <w:t xml:space="preserve">-6 m. </w:t>
            </w:r>
            <w:proofErr w:type="spellStart"/>
            <w:r>
              <w:rPr>
                <w:lang w:val="en-US"/>
              </w:rPr>
              <w:t>vaik</w:t>
            </w:r>
            <w:proofErr w:type="spellEnd"/>
            <w:r>
              <w:t>ų ugdymosi poreikis ikimokyklinio ugdymo įstaigose patenkinamas 100 proc. 2018 m. da</w:t>
            </w:r>
            <w:r w:rsidRPr="00030B02">
              <w:t xml:space="preserve">ugiau nei 75 proc.  visų  </w:t>
            </w:r>
            <w:r>
              <w:t xml:space="preserve"> 0-6 m. amžiaus </w:t>
            </w:r>
            <w:r w:rsidRPr="00030B02">
              <w:t>vaikų lanko ikimokyklinį ugdymą teikiančias įstaiga</w:t>
            </w:r>
            <w:r>
              <w:t>s</w:t>
            </w:r>
            <w:r w:rsidR="002143D8">
              <w:t>.</w:t>
            </w:r>
          </w:p>
        </w:tc>
        <w:tc>
          <w:tcPr>
            <w:tcW w:w="5387" w:type="dxa"/>
          </w:tcPr>
          <w:p w:rsidR="003E4B24" w:rsidRDefault="003E4B24" w:rsidP="00B307A4">
            <w:pPr>
              <w:pStyle w:val="Default"/>
              <w:tabs>
                <w:tab w:val="left" w:pos="567"/>
              </w:tabs>
              <w:jc w:val="both"/>
              <w:rPr>
                <w:rFonts w:eastAsia="Lucida Sans Unicode"/>
                <w:kern w:val="1"/>
                <w:lang w:eastAsia="hi-IN" w:bidi="hi-IN"/>
              </w:rPr>
            </w:pPr>
          </w:p>
          <w:p w:rsidR="003E4B24" w:rsidRDefault="003E4B24" w:rsidP="00B307A4">
            <w:pPr>
              <w:pStyle w:val="Default"/>
              <w:tabs>
                <w:tab w:val="left" w:pos="567"/>
              </w:tabs>
              <w:jc w:val="both"/>
            </w:pPr>
            <w:r>
              <w:t xml:space="preserve">Centralizuotai priimat vaikus </w:t>
            </w:r>
            <w:r w:rsidRPr="005F3105">
              <w:t xml:space="preserve"> ugdytis pagal ikimokyklinio ugdymo programas</w:t>
            </w:r>
            <w:r>
              <w:t xml:space="preserve">, </w:t>
            </w:r>
            <w:r w:rsidRPr="005F3105">
              <w:t xml:space="preserve"> </w:t>
            </w:r>
            <w:r>
              <w:t xml:space="preserve">vietų </w:t>
            </w:r>
            <w:r w:rsidRPr="005F3105">
              <w:t>savivaldybėje rajono įstaigose pakanka.</w:t>
            </w:r>
            <w:r>
              <w:t xml:space="preserve"> </w:t>
            </w:r>
          </w:p>
          <w:p w:rsidR="003E4B24" w:rsidRPr="00030B02" w:rsidRDefault="003E4B24" w:rsidP="00897229">
            <w:pPr>
              <w:pStyle w:val="Default"/>
              <w:tabs>
                <w:tab w:val="left" w:pos="567"/>
              </w:tabs>
              <w:jc w:val="both"/>
            </w:pPr>
          </w:p>
        </w:tc>
      </w:tr>
      <w:tr w:rsidR="003E4B24" w:rsidTr="003E4B24">
        <w:trPr>
          <w:trHeight w:val="2400"/>
        </w:trPr>
        <w:tc>
          <w:tcPr>
            <w:tcW w:w="1576" w:type="dxa"/>
            <w:vMerge/>
          </w:tcPr>
          <w:p w:rsidR="003E4B24" w:rsidRDefault="003E4B24" w:rsidP="00BA0985">
            <w:pPr>
              <w:pStyle w:val="Default"/>
              <w:tabs>
                <w:tab w:val="left" w:pos="567"/>
              </w:tabs>
            </w:pPr>
          </w:p>
        </w:tc>
        <w:tc>
          <w:tcPr>
            <w:tcW w:w="2360" w:type="dxa"/>
            <w:vMerge/>
          </w:tcPr>
          <w:p w:rsidR="003E4B24" w:rsidRDefault="003E4B24" w:rsidP="0007768C">
            <w:pPr>
              <w:pStyle w:val="Default"/>
              <w:tabs>
                <w:tab w:val="left" w:pos="567"/>
              </w:tabs>
            </w:pPr>
          </w:p>
        </w:tc>
        <w:tc>
          <w:tcPr>
            <w:tcW w:w="5244" w:type="dxa"/>
          </w:tcPr>
          <w:p w:rsidR="003E4B24" w:rsidRDefault="003E4B24" w:rsidP="00B307A4">
            <w:pPr>
              <w:pStyle w:val="Default"/>
              <w:tabs>
                <w:tab w:val="left" w:pos="567"/>
              </w:tabs>
              <w:jc w:val="both"/>
            </w:pPr>
            <w:r>
              <w:t xml:space="preserve">Patenkinami  pavėžėjimo į mokyklas  poreikiai 100 proc. </w:t>
            </w:r>
          </w:p>
          <w:p w:rsidR="003E4B24" w:rsidRDefault="003E4B24" w:rsidP="003E4B24">
            <w:pPr>
              <w:pStyle w:val="Default"/>
              <w:tabs>
                <w:tab w:val="left" w:pos="567"/>
              </w:tabs>
              <w:jc w:val="both"/>
            </w:pPr>
          </w:p>
        </w:tc>
        <w:tc>
          <w:tcPr>
            <w:tcW w:w="5387" w:type="dxa"/>
          </w:tcPr>
          <w:p w:rsidR="003E4B24" w:rsidRDefault="003E4B24" w:rsidP="00B307A4">
            <w:pPr>
              <w:spacing w:after="0" w:line="240" w:lineRule="auto"/>
              <w:jc w:val="both"/>
              <w:rPr>
                <w:rFonts w:eastAsia="Lucida Sans Unicode"/>
                <w:kern w:val="1"/>
                <w:lang w:eastAsia="hi-IN" w:bidi="hi-IN"/>
              </w:rPr>
            </w:pPr>
            <w:r w:rsidRPr="004A0E31">
              <w:rPr>
                <w:rFonts w:ascii="Times New Roman" w:hAnsi="Times New Roman" w:cs="Times New Roman"/>
                <w:sz w:val="24"/>
                <w:szCs w:val="24"/>
              </w:rPr>
              <w:t>Maršrutiniais autobusais į mokyklas ir atgal į namus buvo pavežama apie 380</w:t>
            </w:r>
            <w:r w:rsidR="006058C3">
              <w:rPr>
                <w:rFonts w:ascii="Times New Roman" w:hAnsi="Times New Roman" w:cs="Times New Roman"/>
                <w:sz w:val="24"/>
                <w:szCs w:val="24"/>
              </w:rPr>
              <w:t xml:space="preserve"> mokinių</w:t>
            </w:r>
            <w:r w:rsidRPr="004A0E31">
              <w:rPr>
                <w:rFonts w:ascii="Times New Roman" w:hAnsi="Times New Roman" w:cs="Times New Roman"/>
                <w:sz w:val="24"/>
                <w:szCs w:val="24"/>
              </w:rPr>
              <w:t xml:space="preserve"> (10,1 proc. visų rajono mokinių), sutartys dėl mokinių pavežimo pasirašytos su 10 šalies autobusų parkų. Savivaldybės keliais važinėja 14 mokinių vežiojimui skirtų autobusų, į mokyklas vežama virš 400 mokinių (10,7 proc. visų rajono mokinių). Taip pat jais  pavežami ikimokyklinio ir priešmokyklinio ugdymo grupes lankantys vaikai. </w:t>
            </w:r>
          </w:p>
        </w:tc>
      </w:tr>
      <w:tr w:rsidR="003E4B24" w:rsidTr="007C224B">
        <w:trPr>
          <w:trHeight w:val="2232"/>
        </w:trPr>
        <w:tc>
          <w:tcPr>
            <w:tcW w:w="1576" w:type="dxa"/>
            <w:vMerge/>
          </w:tcPr>
          <w:p w:rsidR="003E4B24" w:rsidRDefault="003E4B24" w:rsidP="00BA0985">
            <w:pPr>
              <w:pStyle w:val="Default"/>
              <w:tabs>
                <w:tab w:val="left" w:pos="567"/>
              </w:tabs>
            </w:pPr>
          </w:p>
        </w:tc>
        <w:tc>
          <w:tcPr>
            <w:tcW w:w="2360" w:type="dxa"/>
            <w:vMerge/>
          </w:tcPr>
          <w:p w:rsidR="003E4B24" w:rsidRDefault="003E4B24" w:rsidP="0007768C">
            <w:pPr>
              <w:pStyle w:val="Default"/>
              <w:tabs>
                <w:tab w:val="left" w:pos="567"/>
              </w:tabs>
            </w:pPr>
          </w:p>
        </w:tc>
        <w:tc>
          <w:tcPr>
            <w:tcW w:w="5244" w:type="dxa"/>
          </w:tcPr>
          <w:p w:rsidR="003E4B24" w:rsidRPr="004A0E31" w:rsidRDefault="003E4B24" w:rsidP="00B307A4">
            <w:pPr>
              <w:pStyle w:val="Default"/>
              <w:tabs>
                <w:tab w:val="left" w:pos="567"/>
              </w:tabs>
              <w:jc w:val="both"/>
              <w:rPr>
                <w:lang w:val="en-US"/>
              </w:rPr>
            </w:pPr>
            <w:r>
              <w:t xml:space="preserve">Tenkinamas specialiųjų ugdymosi poreikių turinčių mokinių ugdymas  savivaldybės bendrojo ugdymo ir ikimokyklinio ugdymo mokyklose  </w:t>
            </w:r>
            <w:r>
              <w:rPr>
                <w:lang w:val="en-US"/>
              </w:rPr>
              <w:t xml:space="preserve">100 proc. </w:t>
            </w:r>
          </w:p>
          <w:p w:rsidR="003E4B24" w:rsidRDefault="003E4B24" w:rsidP="00B307A4">
            <w:pPr>
              <w:pStyle w:val="Default"/>
              <w:tabs>
                <w:tab w:val="left" w:pos="567"/>
              </w:tabs>
              <w:jc w:val="both"/>
            </w:pPr>
          </w:p>
        </w:tc>
        <w:tc>
          <w:tcPr>
            <w:tcW w:w="5387" w:type="dxa"/>
          </w:tcPr>
          <w:p w:rsidR="003E4B24" w:rsidRPr="004A0E31" w:rsidRDefault="003E4B24" w:rsidP="006058C3">
            <w:pPr>
              <w:pStyle w:val="Default"/>
              <w:tabs>
                <w:tab w:val="left" w:pos="567"/>
              </w:tabs>
              <w:jc w:val="both"/>
            </w:pPr>
            <w:r w:rsidRPr="000821D6">
              <w:t xml:space="preserve">Mokyklų </w:t>
            </w:r>
            <w:r w:rsidRPr="000821D6">
              <w:rPr>
                <w:rFonts w:eastAsia="Times New Roman"/>
                <w:lang w:eastAsia="lt-LT"/>
              </w:rPr>
              <w:t>bendrojo ugdymo klasėse mokėsi 668 specialiųjų ugdymosi poreikių turintys mokiniai arba 17,8 proc. nuo visų  rajono savivaldybėje besimokančių mokini</w:t>
            </w:r>
            <w:r w:rsidR="006058C3">
              <w:rPr>
                <w:rFonts w:eastAsia="Times New Roman"/>
                <w:lang w:eastAsia="lt-LT"/>
              </w:rPr>
              <w:t>ų;</w:t>
            </w:r>
            <w:r>
              <w:rPr>
                <w:rFonts w:eastAsia="Times New Roman"/>
                <w:lang w:eastAsia="lt-LT"/>
              </w:rPr>
              <w:t xml:space="preserve"> </w:t>
            </w:r>
            <w:r w:rsidR="006058C3">
              <w:rPr>
                <w:rFonts w:eastAsia="Times New Roman"/>
                <w:lang w:eastAsia="lt-LT"/>
              </w:rPr>
              <w:t>i</w:t>
            </w:r>
            <w:r>
              <w:rPr>
                <w:rFonts w:eastAsia="Times New Roman"/>
                <w:lang w:eastAsia="lt-LT"/>
              </w:rPr>
              <w:t>kimokyklinio ugdymo įstaigose -</w:t>
            </w:r>
            <w:r w:rsidRPr="000821D6">
              <w:rPr>
                <w:rFonts w:eastAsia="Times New Roman"/>
                <w:lang w:eastAsia="lt-LT"/>
              </w:rPr>
              <w:t xml:space="preserve"> 220 specialiųjų ugdymosi poreikių turin</w:t>
            </w:r>
            <w:r>
              <w:rPr>
                <w:rFonts w:eastAsia="Times New Roman"/>
                <w:lang w:eastAsia="lt-LT"/>
              </w:rPr>
              <w:t>ys vaikai. Utenos specialiojoje mokykloje-</w:t>
            </w:r>
            <w:proofErr w:type="spellStart"/>
            <w:r>
              <w:rPr>
                <w:rFonts w:eastAsia="Times New Roman"/>
                <w:lang w:eastAsia="lt-LT"/>
              </w:rPr>
              <w:t>daugiafun</w:t>
            </w:r>
            <w:r w:rsidR="000E5155">
              <w:rPr>
                <w:rFonts w:eastAsia="Times New Roman"/>
                <w:lang w:eastAsia="lt-LT"/>
              </w:rPr>
              <w:t>k</w:t>
            </w:r>
            <w:r>
              <w:rPr>
                <w:rFonts w:eastAsia="Times New Roman"/>
                <w:lang w:eastAsia="lt-LT"/>
              </w:rPr>
              <w:t>ciame</w:t>
            </w:r>
            <w:proofErr w:type="spellEnd"/>
            <w:r>
              <w:rPr>
                <w:rFonts w:eastAsia="Times New Roman"/>
                <w:lang w:eastAsia="lt-LT"/>
              </w:rPr>
              <w:t xml:space="preserve"> centre ugdomi 29 mokiniai, </w:t>
            </w:r>
            <w:r w:rsidRPr="007C224B">
              <w:rPr>
                <w:rFonts w:eastAsia="Times New Roman"/>
                <w:lang w:eastAsia="lt-LT"/>
              </w:rPr>
              <w:t>turintys</w:t>
            </w:r>
            <w:r w:rsidR="000E5155">
              <w:rPr>
                <w:rFonts w:eastAsia="Times New Roman"/>
                <w:lang w:eastAsia="lt-LT"/>
              </w:rPr>
              <w:t xml:space="preserve"> dide</w:t>
            </w:r>
            <w:r w:rsidR="007C224B" w:rsidRPr="007C224B">
              <w:rPr>
                <w:rFonts w:eastAsia="Times New Roman"/>
                <w:lang w:eastAsia="lt-LT"/>
              </w:rPr>
              <w:t xml:space="preserve">lius ir labai didelius </w:t>
            </w:r>
            <w:r w:rsidR="008D14B2" w:rsidRPr="007C224B">
              <w:rPr>
                <w:rFonts w:eastAsia="Times New Roman"/>
                <w:lang w:eastAsia="lt-LT"/>
              </w:rPr>
              <w:t xml:space="preserve">ugdymosi </w:t>
            </w:r>
            <w:r w:rsidR="007C224B" w:rsidRPr="007C224B">
              <w:rPr>
                <w:rFonts w:eastAsia="Times New Roman"/>
                <w:lang w:eastAsia="lt-LT"/>
              </w:rPr>
              <w:t>poreikius.</w:t>
            </w:r>
            <w:r>
              <w:rPr>
                <w:rFonts w:eastAsia="Times New Roman"/>
                <w:lang w:eastAsia="lt-LT"/>
              </w:rPr>
              <w:t xml:space="preserve"> </w:t>
            </w:r>
          </w:p>
        </w:tc>
      </w:tr>
      <w:tr w:rsidR="003E4B24" w:rsidTr="003E4B24">
        <w:trPr>
          <w:trHeight w:val="2010"/>
        </w:trPr>
        <w:tc>
          <w:tcPr>
            <w:tcW w:w="1576" w:type="dxa"/>
            <w:vMerge w:val="restart"/>
          </w:tcPr>
          <w:p w:rsidR="003E4B24" w:rsidRPr="00D62203" w:rsidRDefault="003E4B24" w:rsidP="00A22C1D">
            <w:pPr>
              <w:pStyle w:val="Default"/>
              <w:tabs>
                <w:tab w:val="left" w:pos="567"/>
              </w:tabs>
            </w:pPr>
            <w:r w:rsidRPr="00D62203">
              <w:lastRenderedPageBreak/>
              <w:t xml:space="preserve">Mokyklų atvirumas </w:t>
            </w:r>
          </w:p>
        </w:tc>
        <w:tc>
          <w:tcPr>
            <w:tcW w:w="2360" w:type="dxa"/>
            <w:vMerge w:val="restart"/>
          </w:tcPr>
          <w:p w:rsidR="003E4B24" w:rsidRDefault="003E4B24" w:rsidP="00D62203">
            <w:pPr>
              <w:pStyle w:val="Default"/>
              <w:tabs>
                <w:tab w:val="left" w:pos="567"/>
              </w:tabs>
            </w:pPr>
            <w:r>
              <w:t xml:space="preserve">Maksimali rodiklio reikšmė - </w:t>
            </w:r>
            <w:r>
              <w:rPr>
                <w:lang w:val="en-US"/>
              </w:rPr>
              <w:t>100 proc.</w:t>
            </w:r>
            <w:r>
              <w:t xml:space="preserve"> </w:t>
            </w:r>
          </w:p>
          <w:p w:rsidR="003E4B24" w:rsidRDefault="003E4B24" w:rsidP="007C7F41">
            <w:pPr>
              <w:pStyle w:val="Default"/>
              <w:tabs>
                <w:tab w:val="left" w:pos="567"/>
              </w:tabs>
              <w:rPr>
                <w:b/>
              </w:rPr>
            </w:pPr>
            <w:r w:rsidRPr="00A425B6">
              <w:t xml:space="preserve">Visos </w:t>
            </w:r>
            <w:r>
              <w:t xml:space="preserve">bendrojo ugdymo mokyklos skelbia savo pažangos ataskaitas </w:t>
            </w:r>
            <w:proofErr w:type="spellStart"/>
            <w:r>
              <w:t>ŠVIS`e</w:t>
            </w:r>
            <w:proofErr w:type="spellEnd"/>
            <w:r>
              <w:t>,  metines veikos ataskaitas mokyklos interneto svetainėje</w:t>
            </w:r>
            <w:r w:rsidR="002143D8">
              <w:t>.</w:t>
            </w:r>
            <w:r w:rsidR="00E36832">
              <w:t xml:space="preserve"> N</w:t>
            </w:r>
            <w:r>
              <w:t xml:space="preserve">eformaliojo švietimo įstaigos </w:t>
            </w:r>
            <w:r w:rsidR="00E36832">
              <w:t xml:space="preserve">viešai </w:t>
            </w:r>
            <w:r w:rsidR="007C7F41">
              <w:t xml:space="preserve">skelbia </w:t>
            </w:r>
            <w:r>
              <w:t>veiklos kokybės vertinimo ataskaitas</w:t>
            </w:r>
            <w:r w:rsidR="002143D8">
              <w:t>.</w:t>
            </w:r>
          </w:p>
        </w:tc>
        <w:tc>
          <w:tcPr>
            <w:tcW w:w="5244" w:type="dxa"/>
          </w:tcPr>
          <w:p w:rsidR="003E4B24" w:rsidRPr="0070421A" w:rsidRDefault="003E4B24" w:rsidP="002143D8">
            <w:pPr>
              <w:pStyle w:val="Default"/>
              <w:tabs>
                <w:tab w:val="left" w:pos="567"/>
              </w:tabs>
              <w:jc w:val="both"/>
              <w:rPr>
                <w:lang w:val="en-US"/>
              </w:rPr>
            </w:pPr>
            <w:r w:rsidRPr="00727168">
              <w:t xml:space="preserve">2018 m. pažangos atskaitas </w:t>
            </w:r>
            <w:proofErr w:type="spellStart"/>
            <w:r w:rsidRPr="00B307A4">
              <w:t>ŠVIS`e</w:t>
            </w:r>
            <w:proofErr w:type="spellEnd"/>
            <w:r w:rsidRPr="00B307A4">
              <w:t xml:space="preserve"> paskelbė 69 proc. savivaldybės mokyklų. Teikiamų atskaitų dalis nuo 2014 m. iki 2017 m. didėjo:  2014 m. – 29 proc., 2015 m.- 59 proc., 2016 m. - 64 proc., 2017 m.- 85 proc.</w:t>
            </w:r>
            <w:r w:rsidR="002143D8">
              <w:t xml:space="preserve"> </w:t>
            </w:r>
            <w:r w:rsidR="007C7F41">
              <w:t>M</w:t>
            </w:r>
            <w:r w:rsidRPr="00B307A4">
              <w:t xml:space="preserve">okyklos metinės veiklos ataskaitas  už 2018 m. interneto svetainėse paskelbė 85 proc. mokyklų. </w:t>
            </w:r>
          </w:p>
        </w:tc>
        <w:tc>
          <w:tcPr>
            <w:tcW w:w="5387" w:type="dxa"/>
          </w:tcPr>
          <w:p w:rsidR="003E4B24" w:rsidRDefault="003E4B24" w:rsidP="00897229">
            <w:pPr>
              <w:pStyle w:val="Default"/>
              <w:tabs>
                <w:tab w:val="left" w:pos="567"/>
              </w:tabs>
              <w:jc w:val="both"/>
            </w:pPr>
            <w:r w:rsidRPr="0070421A">
              <w:t>Siekis, kad visos mokyklos</w:t>
            </w:r>
            <w:r>
              <w:t xml:space="preserve"> įsivertintų ir </w:t>
            </w:r>
            <w:r w:rsidRPr="0070421A">
              <w:t>skelbtų savo pažangos ataskaitas</w:t>
            </w:r>
            <w:r>
              <w:t xml:space="preserve"> ir metinės veiklos ataskaitas bendruomenei</w:t>
            </w:r>
            <w:r w:rsidRPr="0070421A">
              <w:t xml:space="preserve">, nes </w:t>
            </w:r>
            <w:r>
              <w:t>ataskaitų</w:t>
            </w:r>
            <w:r w:rsidRPr="0070421A">
              <w:t xml:space="preserve"> viešas  skelbimas – vienas iš atviros mokyklos požymių.</w:t>
            </w:r>
          </w:p>
          <w:p w:rsidR="003E4B24" w:rsidRPr="0070421A" w:rsidRDefault="003E4B24" w:rsidP="003E4B24">
            <w:pPr>
              <w:pStyle w:val="Default"/>
              <w:tabs>
                <w:tab w:val="left" w:pos="567"/>
              </w:tabs>
            </w:pPr>
          </w:p>
        </w:tc>
      </w:tr>
      <w:tr w:rsidR="003E4B24" w:rsidTr="002143D8">
        <w:trPr>
          <w:trHeight w:val="1811"/>
        </w:trPr>
        <w:tc>
          <w:tcPr>
            <w:tcW w:w="1576" w:type="dxa"/>
            <w:vMerge/>
          </w:tcPr>
          <w:p w:rsidR="003E4B24" w:rsidRPr="00D62203" w:rsidRDefault="003E4B24" w:rsidP="001E13DA">
            <w:pPr>
              <w:pStyle w:val="Default"/>
              <w:tabs>
                <w:tab w:val="left" w:pos="567"/>
              </w:tabs>
              <w:jc w:val="center"/>
            </w:pPr>
          </w:p>
        </w:tc>
        <w:tc>
          <w:tcPr>
            <w:tcW w:w="2360" w:type="dxa"/>
            <w:vMerge/>
          </w:tcPr>
          <w:p w:rsidR="003E4B24" w:rsidRDefault="003E4B24" w:rsidP="00D62203">
            <w:pPr>
              <w:pStyle w:val="Default"/>
              <w:tabs>
                <w:tab w:val="left" w:pos="567"/>
              </w:tabs>
            </w:pPr>
          </w:p>
        </w:tc>
        <w:tc>
          <w:tcPr>
            <w:tcW w:w="5244" w:type="dxa"/>
          </w:tcPr>
          <w:p w:rsidR="003E4B24" w:rsidRPr="00727168" w:rsidRDefault="003E4B24" w:rsidP="00897229">
            <w:pPr>
              <w:pStyle w:val="Default"/>
              <w:tabs>
                <w:tab w:val="left" w:pos="567"/>
              </w:tabs>
              <w:jc w:val="both"/>
            </w:pPr>
            <w:r w:rsidRPr="00B307A4">
              <w:t xml:space="preserve">2018 m.  savivaldybėje vykdytas  visų neformaliojo vaikų švietimo mokyklų išorinis veiklos kokybės vertinimas, ataskaitos   paskelbtos </w:t>
            </w:r>
            <w:proofErr w:type="spellStart"/>
            <w:r w:rsidRPr="00B307A4">
              <w:t>ŠVIS`e</w:t>
            </w:r>
            <w:proofErr w:type="spellEnd"/>
            <w:r w:rsidRPr="00B307A4">
              <w:t>.</w:t>
            </w:r>
            <w:r>
              <w:rPr>
                <w:lang w:val="en-US"/>
              </w:rPr>
              <w:t xml:space="preserve"> </w:t>
            </w:r>
          </w:p>
        </w:tc>
        <w:tc>
          <w:tcPr>
            <w:tcW w:w="5387" w:type="dxa"/>
          </w:tcPr>
          <w:p w:rsidR="003E4B24" w:rsidRPr="0070421A" w:rsidRDefault="003E4B24" w:rsidP="00897229">
            <w:pPr>
              <w:pStyle w:val="Default"/>
              <w:tabs>
                <w:tab w:val="left" w:pos="567"/>
              </w:tabs>
              <w:jc w:val="both"/>
            </w:pPr>
            <w:r>
              <w:t>Neformaliojo vaikų švietimo veiklos kokybės įsivertinimas buvo atliktas dalyvaujant ŠMM inicijuotame eksperimentiniame Neformaliojo vaikų švietimo kokybės užtikrinimo metodikos  taikymo projekte.</w:t>
            </w:r>
          </w:p>
        </w:tc>
      </w:tr>
      <w:tr w:rsidR="008D14B2" w:rsidTr="00E36832">
        <w:trPr>
          <w:trHeight w:val="3893"/>
        </w:trPr>
        <w:tc>
          <w:tcPr>
            <w:tcW w:w="1576" w:type="dxa"/>
            <w:vMerge w:val="restart"/>
          </w:tcPr>
          <w:p w:rsidR="008D14B2" w:rsidRPr="00B307A4" w:rsidRDefault="008D14B2" w:rsidP="006327A3">
            <w:pPr>
              <w:pStyle w:val="Default"/>
              <w:tabs>
                <w:tab w:val="left" w:pos="567"/>
              </w:tabs>
            </w:pPr>
            <w:r w:rsidRPr="00B307A4">
              <w:t>Neformal</w:t>
            </w:r>
            <w:r>
              <w:t>i</w:t>
            </w:r>
            <w:r w:rsidRPr="00B307A4">
              <w:t>ojo</w:t>
            </w:r>
            <w:r>
              <w:t xml:space="preserve"> švietimo prieinamumas</w:t>
            </w:r>
          </w:p>
        </w:tc>
        <w:tc>
          <w:tcPr>
            <w:tcW w:w="2360" w:type="dxa"/>
            <w:vMerge w:val="restart"/>
          </w:tcPr>
          <w:p w:rsidR="008D14B2" w:rsidRPr="00D95FC5" w:rsidRDefault="008D14B2" w:rsidP="00897229">
            <w:pPr>
              <w:pStyle w:val="Default"/>
              <w:tabs>
                <w:tab w:val="left" w:pos="567"/>
              </w:tabs>
            </w:pPr>
            <w:r>
              <w:t>Maksimali reikš</w:t>
            </w:r>
            <w:r w:rsidRPr="00D95FC5">
              <w:t>m</w:t>
            </w:r>
            <w:r>
              <w:t>ė</w:t>
            </w:r>
            <w:r w:rsidRPr="00D95FC5">
              <w:t xml:space="preserve">-  80 proc. </w:t>
            </w:r>
          </w:p>
        </w:tc>
        <w:tc>
          <w:tcPr>
            <w:tcW w:w="5244" w:type="dxa"/>
          </w:tcPr>
          <w:p w:rsidR="008D14B2" w:rsidRDefault="008D14B2" w:rsidP="003E4B24">
            <w:pPr>
              <w:pStyle w:val="Default"/>
              <w:tabs>
                <w:tab w:val="left" w:pos="567"/>
              </w:tabs>
              <w:jc w:val="both"/>
              <w:rPr>
                <w:lang w:val="en-US"/>
              </w:rPr>
            </w:pPr>
            <w:r>
              <w:t xml:space="preserve">Kiekvienais metais didėja savivaldybės  mokinių dalis, besinaudojančių neformaliojo vaikų švietimo galimybėmis mokykloje ir kitose neformalųjį vaikų švietimo teikiančiose įstaigose: </w:t>
            </w:r>
            <w:r>
              <w:rPr>
                <w:lang w:val="en-US"/>
              </w:rPr>
              <w:t xml:space="preserve">2015 m. – 33,8 proc., 2016 m. – 47,6 proc., 2017 m.- 72 proc., 2018 m.- 75,4 proc. </w:t>
            </w:r>
          </w:p>
          <w:p w:rsidR="008D14B2" w:rsidRPr="00D95FC5" w:rsidRDefault="008D14B2" w:rsidP="008D14B2">
            <w:pPr>
              <w:pStyle w:val="Default"/>
              <w:tabs>
                <w:tab w:val="left" w:pos="567"/>
              </w:tabs>
              <w:jc w:val="both"/>
            </w:pPr>
          </w:p>
        </w:tc>
        <w:tc>
          <w:tcPr>
            <w:tcW w:w="5387" w:type="dxa"/>
          </w:tcPr>
          <w:p w:rsidR="008D14B2" w:rsidRDefault="008D14B2" w:rsidP="007C7F41">
            <w:pPr>
              <w:pStyle w:val="Betarp"/>
              <w:tabs>
                <w:tab w:val="left" w:pos="567"/>
              </w:tabs>
              <w:jc w:val="both"/>
              <w:rPr>
                <w:b/>
              </w:rPr>
            </w:pPr>
            <w:r w:rsidRPr="000821D6">
              <w:rPr>
                <w:rFonts w:ascii="Times New Roman" w:hAnsi="Times New Roman" w:cs="Times New Roman"/>
                <w:sz w:val="24"/>
                <w:szCs w:val="24"/>
              </w:rPr>
              <w:t>2018 m. Nef</w:t>
            </w:r>
            <w:r>
              <w:rPr>
                <w:rFonts w:ascii="Times New Roman" w:hAnsi="Times New Roman" w:cs="Times New Roman"/>
                <w:sz w:val="24"/>
                <w:szCs w:val="24"/>
              </w:rPr>
              <w:t xml:space="preserve">ormalaus vaikų švietimo </w:t>
            </w:r>
            <w:r w:rsidRPr="000821D6">
              <w:rPr>
                <w:rFonts w:ascii="Times New Roman" w:hAnsi="Times New Roman" w:cs="Times New Roman"/>
                <w:sz w:val="24"/>
                <w:szCs w:val="24"/>
              </w:rPr>
              <w:t xml:space="preserve"> </w:t>
            </w:r>
            <w:r>
              <w:rPr>
                <w:rFonts w:ascii="Times New Roman" w:hAnsi="Times New Roman" w:cs="Times New Roman"/>
                <w:sz w:val="24"/>
                <w:szCs w:val="24"/>
              </w:rPr>
              <w:t>programoms,</w:t>
            </w:r>
            <w:r w:rsidRPr="000821D6">
              <w:rPr>
                <w:rFonts w:ascii="Times New Roman" w:hAnsi="Times New Roman" w:cs="Times New Roman"/>
                <w:sz w:val="24"/>
                <w:szCs w:val="24"/>
              </w:rPr>
              <w:t xml:space="preserve"> kurios finansuojamos iš E</w:t>
            </w:r>
            <w:r w:rsidR="00E36832">
              <w:rPr>
                <w:rFonts w:ascii="Times New Roman" w:hAnsi="Times New Roman" w:cs="Times New Roman"/>
                <w:sz w:val="24"/>
                <w:szCs w:val="24"/>
              </w:rPr>
              <w:t>S</w:t>
            </w:r>
            <w:r w:rsidRPr="000821D6">
              <w:rPr>
                <w:rFonts w:ascii="Times New Roman" w:hAnsi="Times New Roman" w:cs="Times New Roman"/>
                <w:sz w:val="24"/>
                <w:szCs w:val="24"/>
              </w:rPr>
              <w:t xml:space="preserve"> struktūri</w:t>
            </w:r>
            <w:r>
              <w:rPr>
                <w:rFonts w:ascii="Times New Roman" w:hAnsi="Times New Roman" w:cs="Times New Roman"/>
                <w:sz w:val="24"/>
                <w:szCs w:val="24"/>
              </w:rPr>
              <w:t>nių fondų projekto</w:t>
            </w:r>
            <w:r w:rsidRPr="000821D6">
              <w:rPr>
                <w:rFonts w:ascii="Times New Roman" w:hAnsi="Times New Roman" w:cs="Times New Roman"/>
                <w:sz w:val="24"/>
                <w:szCs w:val="24"/>
              </w:rPr>
              <w:t xml:space="preserve"> </w:t>
            </w:r>
            <w:r w:rsidRPr="000821D6">
              <w:rPr>
                <w:rFonts w:ascii="Times New Roman" w:eastAsia="Times New Roman" w:hAnsi="Times New Roman" w:cs="Times New Roman"/>
                <w:sz w:val="24"/>
                <w:szCs w:val="24"/>
                <w:lang w:eastAsia="lt-LT"/>
              </w:rPr>
              <w:t>„Neformaliojo vaikų švietimo paslaugų plėtra“</w:t>
            </w:r>
            <w:r>
              <w:rPr>
                <w:rFonts w:ascii="Times New Roman" w:hAnsi="Times New Roman" w:cs="Times New Roman"/>
                <w:sz w:val="24"/>
                <w:szCs w:val="24"/>
              </w:rPr>
              <w:t xml:space="preserve"> </w:t>
            </w:r>
            <w:r w:rsidRPr="000821D6">
              <w:rPr>
                <w:rFonts w:ascii="Times New Roman" w:hAnsi="Times New Roman" w:cs="Times New Roman"/>
                <w:sz w:val="24"/>
                <w:szCs w:val="24"/>
              </w:rPr>
              <w:t xml:space="preserve">savivaldybei skirta </w:t>
            </w:r>
            <w:r>
              <w:rPr>
                <w:rFonts w:ascii="Times New Roman" w:eastAsia="Times New Roman" w:hAnsi="Times New Roman" w:cs="Times New Roman"/>
                <w:sz w:val="24"/>
                <w:szCs w:val="24"/>
                <w:lang w:eastAsia="lt-LT"/>
              </w:rPr>
              <w:t>128,</w:t>
            </w:r>
            <w:r w:rsidRPr="000821D6">
              <w:rPr>
                <w:rFonts w:ascii="Times New Roman" w:eastAsia="Times New Roman" w:hAnsi="Times New Roman" w:cs="Times New Roman"/>
                <w:sz w:val="24"/>
                <w:szCs w:val="24"/>
                <w:lang w:eastAsia="lt-LT"/>
              </w:rPr>
              <w:t>6</w:t>
            </w:r>
            <w:r w:rsidRPr="000821D6">
              <w:rPr>
                <w:rFonts w:ascii="Times New Roman" w:hAnsi="Times New Roman" w:cs="Times New Roman"/>
                <w:sz w:val="24"/>
                <w:szCs w:val="24"/>
              </w:rPr>
              <w:t xml:space="preserve"> tūkst. </w:t>
            </w:r>
            <w:r>
              <w:rPr>
                <w:rFonts w:ascii="Times New Roman" w:hAnsi="Times New Roman" w:cs="Times New Roman"/>
                <w:sz w:val="24"/>
                <w:szCs w:val="24"/>
              </w:rPr>
              <w:t>e</w:t>
            </w:r>
            <w:r w:rsidRPr="000821D6">
              <w:rPr>
                <w:rFonts w:ascii="Times New Roman" w:hAnsi="Times New Roman" w:cs="Times New Roman"/>
                <w:sz w:val="24"/>
                <w:szCs w:val="24"/>
              </w:rPr>
              <w:t>urų</w:t>
            </w:r>
            <w:r>
              <w:rPr>
                <w:rFonts w:ascii="Times New Roman" w:hAnsi="Times New Roman" w:cs="Times New Roman"/>
                <w:sz w:val="24"/>
                <w:szCs w:val="24"/>
              </w:rPr>
              <w:t>. A</w:t>
            </w:r>
            <w:r w:rsidRPr="000821D6">
              <w:rPr>
                <w:rFonts w:ascii="Times New Roman" w:hAnsi="Times New Roman" w:cs="Times New Roman"/>
                <w:sz w:val="24"/>
                <w:szCs w:val="24"/>
              </w:rPr>
              <w:t>kredituoto</w:t>
            </w:r>
            <w:r>
              <w:rPr>
                <w:rFonts w:ascii="Times New Roman" w:hAnsi="Times New Roman" w:cs="Times New Roman"/>
                <w:sz w:val="24"/>
                <w:szCs w:val="24"/>
              </w:rPr>
              <w:t xml:space="preserve">s ir įgyvendinamos 46 programos, kurias teikia </w:t>
            </w:r>
            <w:r w:rsidRPr="000821D6">
              <w:rPr>
                <w:rFonts w:ascii="Times New Roman" w:hAnsi="Times New Roman" w:cs="Times New Roman"/>
                <w:sz w:val="24"/>
                <w:szCs w:val="24"/>
              </w:rPr>
              <w:t>34 teikėjai: 24 laisvieji mokytojai, 3 viešosios įstaigos, 2 asociacijos ir 3 biudžetinės įstaigos.</w:t>
            </w:r>
            <w:r w:rsidRPr="000821D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Pirmą pusmetį </w:t>
            </w:r>
            <w:r w:rsidRPr="000821D6">
              <w:rPr>
                <w:rFonts w:ascii="Times New Roman" w:hAnsi="Times New Roman" w:cs="Times New Roman"/>
                <w:sz w:val="24"/>
                <w:szCs w:val="24"/>
              </w:rPr>
              <w:t>programose</w:t>
            </w:r>
            <w:r w:rsidR="007C7F41">
              <w:rPr>
                <w:rFonts w:ascii="Times New Roman" w:hAnsi="Times New Roman" w:cs="Times New Roman"/>
                <w:sz w:val="24"/>
                <w:szCs w:val="24"/>
                <w:lang w:eastAsia="lt-LT"/>
              </w:rPr>
              <w:t xml:space="preserve"> d</w:t>
            </w:r>
            <w:r w:rsidR="007C7F41" w:rsidRPr="000821D6">
              <w:rPr>
                <w:rFonts w:ascii="Times New Roman" w:hAnsi="Times New Roman" w:cs="Times New Roman"/>
                <w:sz w:val="24"/>
                <w:szCs w:val="24"/>
              </w:rPr>
              <w:t>alyvavo</w:t>
            </w:r>
            <w:r w:rsidRPr="000821D6">
              <w:rPr>
                <w:rFonts w:ascii="Times New Roman" w:hAnsi="Times New Roman" w:cs="Times New Roman"/>
                <w:sz w:val="24"/>
                <w:szCs w:val="24"/>
              </w:rPr>
              <w:t xml:space="preserve"> 1360 mokinių (34,8 proc.  savivaldybėje besimokančių mokinių)</w:t>
            </w:r>
            <w:r>
              <w:rPr>
                <w:rFonts w:ascii="Times New Roman" w:hAnsi="Times New Roman" w:cs="Times New Roman"/>
                <w:sz w:val="24"/>
                <w:szCs w:val="24"/>
              </w:rPr>
              <w:t>,</w:t>
            </w:r>
            <w:r w:rsidR="007C7F41">
              <w:rPr>
                <w:rFonts w:ascii="Times New Roman" w:hAnsi="Times New Roman" w:cs="Times New Roman"/>
                <w:sz w:val="24"/>
                <w:szCs w:val="24"/>
              </w:rPr>
              <w:t xml:space="preserve"> vieno</w:t>
            </w:r>
            <w:r>
              <w:rPr>
                <w:rFonts w:ascii="Times New Roman" w:hAnsi="Times New Roman" w:cs="Times New Roman"/>
                <w:sz w:val="24"/>
                <w:szCs w:val="24"/>
              </w:rPr>
              <w:t xml:space="preserve"> </w:t>
            </w:r>
            <w:r w:rsidRPr="000821D6">
              <w:rPr>
                <w:rFonts w:ascii="Times New Roman" w:hAnsi="Times New Roman" w:cs="Times New Roman"/>
                <w:sz w:val="24"/>
                <w:szCs w:val="24"/>
              </w:rPr>
              <w:t xml:space="preserve">vaiko ugdymui  skiriama 13,5 eurų. Antrąjį metų pusmetį </w:t>
            </w:r>
            <w:r>
              <w:rPr>
                <w:rFonts w:ascii="Times New Roman" w:hAnsi="Times New Roman" w:cs="Times New Roman"/>
                <w:sz w:val="24"/>
                <w:szCs w:val="24"/>
              </w:rPr>
              <w:t>dalyva</w:t>
            </w:r>
            <w:r w:rsidR="007C7F41">
              <w:rPr>
                <w:rFonts w:ascii="Times New Roman" w:hAnsi="Times New Roman" w:cs="Times New Roman"/>
                <w:sz w:val="24"/>
                <w:szCs w:val="24"/>
              </w:rPr>
              <w:t>vo</w:t>
            </w:r>
            <w:r>
              <w:rPr>
                <w:rFonts w:ascii="Times New Roman" w:hAnsi="Times New Roman" w:cs="Times New Roman"/>
                <w:sz w:val="24"/>
                <w:szCs w:val="24"/>
              </w:rPr>
              <w:t xml:space="preserve"> 1300 mokinių</w:t>
            </w:r>
            <w:r w:rsidRPr="000821D6">
              <w:rPr>
                <w:rFonts w:ascii="Times New Roman" w:hAnsi="Times New Roman" w:cs="Times New Roman"/>
                <w:sz w:val="24"/>
                <w:szCs w:val="24"/>
              </w:rPr>
              <w:t xml:space="preserve"> (34,7 proc. mokinių)</w:t>
            </w:r>
            <w:r>
              <w:rPr>
                <w:rFonts w:ascii="Times New Roman" w:hAnsi="Times New Roman" w:cs="Times New Roman"/>
                <w:sz w:val="24"/>
                <w:szCs w:val="24"/>
              </w:rPr>
              <w:t xml:space="preserve">, </w:t>
            </w:r>
            <w:r w:rsidRPr="000821D6">
              <w:rPr>
                <w:rFonts w:ascii="Times New Roman" w:hAnsi="Times New Roman" w:cs="Times New Roman"/>
                <w:sz w:val="24"/>
                <w:szCs w:val="24"/>
              </w:rPr>
              <w:t>ski</w:t>
            </w:r>
            <w:r w:rsidR="007C7F41">
              <w:rPr>
                <w:rFonts w:ascii="Times New Roman" w:hAnsi="Times New Roman" w:cs="Times New Roman"/>
                <w:sz w:val="24"/>
                <w:szCs w:val="24"/>
              </w:rPr>
              <w:t>rta</w:t>
            </w:r>
            <w:r w:rsidRPr="000821D6">
              <w:rPr>
                <w:rFonts w:ascii="Times New Roman" w:hAnsi="Times New Roman" w:cs="Times New Roman"/>
                <w:sz w:val="24"/>
                <w:szCs w:val="24"/>
              </w:rPr>
              <w:t xml:space="preserve"> po 14,15 </w:t>
            </w:r>
            <w:proofErr w:type="spellStart"/>
            <w:r w:rsidRPr="000821D6">
              <w:rPr>
                <w:rFonts w:ascii="Times New Roman" w:hAnsi="Times New Roman" w:cs="Times New Roman"/>
                <w:sz w:val="24"/>
                <w:szCs w:val="24"/>
              </w:rPr>
              <w:t>Eur</w:t>
            </w:r>
            <w:proofErr w:type="spellEnd"/>
            <w:r w:rsidR="00E36832">
              <w:rPr>
                <w:rFonts w:ascii="Times New Roman" w:hAnsi="Times New Roman" w:cs="Times New Roman"/>
                <w:sz w:val="24"/>
                <w:szCs w:val="24"/>
              </w:rPr>
              <w:t>.</w:t>
            </w:r>
            <w:r w:rsidRPr="000821D6">
              <w:rPr>
                <w:rFonts w:ascii="Times New Roman" w:hAnsi="Times New Roman" w:cs="Times New Roman"/>
                <w:sz w:val="24"/>
                <w:szCs w:val="24"/>
              </w:rPr>
              <w:t xml:space="preserve"> </w:t>
            </w:r>
            <w:r w:rsidR="002143D8">
              <w:rPr>
                <w:rFonts w:ascii="Times New Roman" w:hAnsi="Times New Roman" w:cs="Times New Roman"/>
                <w:sz w:val="24"/>
                <w:szCs w:val="24"/>
                <w:lang w:eastAsia="lt-LT"/>
              </w:rPr>
              <w:t>I</w:t>
            </w:r>
            <w:r w:rsidRPr="000821D6">
              <w:rPr>
                <w:rFonts w:ascii="Times New Roman" w:hAnsi="Times New Roman" w:cs="Times New Roman"/>
                <w:sz w:val="24"/>
                <w:szCs w:val="24"/>
                <w:lang w:eastAsia="lt-LT"/>
              </w:rPr>
              <w:t>šsiplėtė</w:t>
            </w:r>
            <w:r w:rsidRPr="000821D6">
              <w:rPr>
                <w:rFonts w:ascii="Times New Roman" w:hAnsi="Times New Roman" w:cs="Times New Roman"/>
                <w:sz w:val="24"/>
                <w:szCs w:val="24"/>
              </w:rPr>
              <w:t xml:space="preserve"> Nef</w:t>
            </w:r>
            <w:r>
              <w:rPr>
                <w:rFonts w:ascii="Times New Roman" w:hAnsi="Times New Roman" w:cs="Times New Roman"/>
                <w:sz w:val="24"/>
                <w:szCs w:val="24"/>
              </w:rPr>
              <w:t xml:space="preserve">ormalaus vaikų švietimo </w:t>
            </w:r>
            <w:r w:rsidR="00E36832">
              <w:rPr>
                <w:rFonts w:ascii="Times New Roman" w:hAnsi="Times New Roman" w:cs="Times New Roman"/>
                <w:sz w:val="24"/>
                <w:szCs w:val="24"/>
                <w:lang w:eastAsia="lt-LT"/>
              </w:rPr>
              <w:t xml:space="preserve">veiklų spektras, </w:t>
            </w:r>
            <w:r w:rsidR="007C7F41">
              <w:rPr>
                <w:rFonts w:ascii="Times New Roman" w:hAnsi="Times New Roman" w:cs="Times New Roman"/>
                <w:sz w:val="24"/>
                <w:szCs w:val="24"/>
                <w:lang w:eastAsia="lt-LT"/>
              </w:rPr>
              <w:t xml:space="preserve">didėjo </w:t>
            </w:r>
            <w:r>
              <w:rPr>
                <w:rFonts w:ascii="Times New Roman" w:hAnsi="Times New Roman" w:cs="Times New Roman"/>
                <w:sz w:val="24"/>
                <w:szCs w:val="24"/>
              </w:rPr>
              <w:t xml:space="preserve">vaikų </w:t>
            </w:r>
            <w:proofErr w:type="spellStart"/>
            <w:r>
              <w:rPr>
                <w:rFonts w:ascii="Times New Roman" w:hAnsi="Times New Roman" w:cs="Times New Roman"/>
                <w:sz w:val="24"/>
                <w:szCs w:val="24"/>
              </w:rPr>
              <w:t>popamokini</w:t>
            </w:r>
            <w:r w:rsidR="007C7F41">
              <w:rPr>
                <w:rFonts w:ascii="Times New Roman" w:hAnsi="Times New Roman" w:cs="Times New Roman"/>
                <w:sz w:val="24"/>
                <w:szCs w:val="24"/>
              </w:rPr>
              <w:t>s</w:t>
            </w:r>
            <w:proofErr w:type="spellEnd"/>
            <w:r w:rsidR="007C7F41">
              <w:rPr>
                <w:rFonts w:ascii="Times New Roman" w:hAnsi="Times New Roman" w:cs="Times New Roman"/>
                <w:sz w:val="24"/>
                <w:szCs w:val="24"/>
              </w:rPr>
              <w:t xml:space="preserve"> </w:t>
            </w:r>
            <w:r>
              <w:rPr>
                <w:rFonts w:ascii="Times New Roman" w:hAnsi="Times New Roman" w:cs="Times New Roman"/>
                <w:sz w:val="24"/>
                <w:szCs w:val="24"/>
              </w:rPr>
              <w:t>užimtum</w:t>
            </w:r>
            <w:r w:rsidR="007C7F41">
              <w:rPr>
                <w:rFonts w:ascii="Times New Roman" w:hAnsi="Times New Roman" w:cs="Times New Roman"/>
                <w:sz w:val="24"/>
                <w:szCs w:val="24"/>
              </w:rPr>
              <w:t>as.</w:t>
            </w:r>
            <w:r w:rsidRPr="000821D6">
              <w:rPr>
                <w:rFonts w:ascii="Times New Roman" w:hAnsi="Times New Roman" w:cs="Times New Roman"/>
                <w:sz w:val="24"/>
                <w:szCs w:val="24"/>
              </w:rPr>
              <w:t xml:space="preserve"> </w:t>
            </w:r>
          </w:p>
        </w:tc>
      </w:tr>
      <w:tr w:rsidR="008D14B2" w:rsidTr="003E4B24">
        <w:trPr>
          <w:trHeight w:val="540"/>
        </w:trPr>
        <w:tc>
          <w:tcPr>
            <w:tcW w:w="1576" w:type="dxa"/>
            <w:vMerge/>
          </w:tcPr>
          <w:p w:rsidR="008D14B2" w:rsidRPr="00B307A4" w:rsidRDefault="008D14B2" w:rsidP="006327A3">
            <w:pPr>
              <w:pStyle w:val="Default"/>
              <w:tabs>
                <w:tab w:val="left" w:pos="567"/>
              </w:tabs>
            </w:pPr>
          </w:p>
        </w:tc>
        <w:tc>
          <w:tcPr>
            <w:tcW w:w="2360" w:type="dxa"/>
            <w:vMerge/>
          </w:tcPr>
          <w:p w:rsidR="008D14B2" w:rsidRDefault="008D14B2" w:rsidP="00897229">
            <w:pPr>
              <w:pStyle w:val="Default"/>
              <w:tabs>
                <w:tab w:val="left" w:pos="567"/>
              </w:tabs>
            </w:pPr>
          </w:p>
        </w:tc>
        <w:tc>
          <w:tcPr>
            <w:tcW w:w="5244" w:type="dxa"/>
          </w:tcPr>
          <w:p w:rsidR="008D14B2" w:rsidRDefault="006058C3" w:rsidP="001B3266">
            <w:pPr>
              <w:pStyle w:val="Default"/>
              <w:tabs>
                <w:tab w:val="left" w:pos="567"/>
              </w:tabs>
              <w:jc w:val="both"/>
            </w:pPr>
            <w:r>
              <w:t>Buvo organizuota</w:t>
            </w:r>
            <w:r w:rsidR="001B3266">
              <w:t xml:space="preserve"> 17 vaikų vasaros poilsio  stovyklų, </w:t>
            </w:r>
            <w:r w:rsidR="008D14B2">
              <w:t xml:space="preserve">stovyklose  dalyvavo </w:t>
            </w:r>
            <w:r w:rsidR="001B3266">
              <w:rPr>
                <w:lang w:val="en-US"/>
              </w:rPr>
              <w:t>402</w:t>
            </w:r>
            <w:r w:rsidR="007C7F41">
              <w:t xml:space="preserve"> vaikai.</w:t>
            </w:r>
          </w:p>
          <w:p w:rsidR="008D14B2" w:rsidRDefault="008D14B2" w:rsidP="003E4B24">
            <w:pPr>
              <w:pStyle w:val="Default"/>
              <w:tabs>
                <w:tab w:val="left" w:pos="567"/>
              </w:tabs>
              <w:jc w:val="both"/>
              <w:rPr>
                <w:lang w:val="en-US"/>
              </w:rPr>
            </w:pPr>
          </w:p>
          <w:p w:rsidR="008D14B2" w:rsidRDefault="008D14B2" w:rsidP="00D95FC5">
            <w:pPr>
              <w:pStyle w:val="Default"/>
              <w:tabs>
                <w:tab w:val="left" w:pos="567"/>
              </w:tabs>
            </w:pPr>
          </w:p>
        </w:tc>
        <w:tc>
          <w:tcPr>
            <w:tcW w:w="5387" w:type="dxa"/>
          </w:tcPr>
          <w:p w:rsidR="008D14B2" w:rsidRPr="001B3266" w:rsidRDefault="001B3266" w:rsidP="001B3266">
            <w:pPr>
              <w:pStyle w:val="Betarp"/>
              <w:tabs>
                <w:tab w:val="left" w:pos="567"/>
              </w:tabs>
              <w:jc w:val="both"/>
              <w:rPr>
                <w:rFonts w:ascii="Times New Roman" w:hAnsi="Times New Roman" w:cs="Times New Roman"/>
                <w:sz w:val="24"/>
                <w:szCs w:val="24"/>
                <w:lang w:val="en-US"/>
              </w:rPr>
            </w:pPr>
            <w:r>
              <w:rPr>
                <w:rFonts w:ascii="Times New Roman" w:hAnsi="Times New Roman" w:cs="Times New Roman"/>
                <w:sz w:val="24"/>
                <w:szCs w:val="24"/>
              </w:rPr>
              <w:t xml:space="preserve"> Savivaldybės vaikų vasaros poilsiui skirta </w:t>
            </w:r>
            <w:r>
              <w:rPr>
                <w:rFonts w:ascii="Times New Roman" w:hAnsi="Times New Roman" w:cs="Times New Roman"/>
                <w:sz w:val="24"/>
                <w:szCs w:val="24"/>
                <w:lang w:val="en-US"/>
              </w:rPr>
              <w:t xml:space="preserve">27,7 </w:t>
            </w:r>
            <w:r>
              <w:rPr>
                <w:rFonts w:ascii="Times New Roman" w:hAnsi="Times New Roman" w:cs="Times New Roman"/>
                <w:sz w:val="24"/>
                <w:szCs w:val="24"/>
              </w:rPr>
              <w:t xml:space="preserve">tūkst. eurų. </w:t>
            </w:r>
            <w:r>
              <w:rPr>
                <w:rFonts w:ascii="Times New Roman" w:hAnsi="Times New Roman" w:cs="Times New Roman"/>
                <w:sz w:val="24"/>
                <w:szCs w:val="24"/>
                <w:lang w:val="en-US"/>
              </w:rPr>
              <w:t xml:space="preserve"> V</w:t>
            </w:r>
            <w:proofErr w:type="spellStart"/>
            <w:r>
              <w:rPr>
                <w:rFonts w:ascii="Times New Roman" w:hAnsi="Times New Roman" w:cs="Times New Roman"/>
                <w:sz w:val="24"/>
                <w:szCs w:val="24"/>
              </w:rPr>
              <w:t>aikų</w:t>
            </w:r>
            <w:proofErr w:type="spellEnd"/>
            <w:r>
              <w:rPr>
                <w:rFonts w:ascii="Times New Roman" w:hAnsi="Times New Roman" w:cs="Times New Roman"/>
                <w:sz w:val="24"/>
                <w:szCs w:val="24"/>
              </w:rPr>
              <w:t xml:space="preserve"> vasaros poilsiui ir jaunimo </w:t>
            </w:r>
            <w:proofErr w:type="gramStart"/>
            <w:r>
              <w:rPr>
                <w:rFonts w:ascii="Times New Roman" w:hAnsi="Times New Roman" w:cs="Times New Roman"/>
                <w:sz w:val="24"/>
                <w:szCs w:val="24"/>
              </w:rPr>
              <w:t>užimtumui  savivaldybė</w:t>
            </w:r>
            <w:proofErr w:type="gramEnd"/>
            <w:r>
              <w:rPr>
                <w:rFonts w:ascii="Times New Roman" w:hAnsi="Times New Roman" w:cs="Times New Roman"/>
                <w:sz w:val="24"/>
                <w:szCs w:val="24"/>
              </w:rPr>
              <w:t xml:space="preserve"> skyrė 11,3 tūkst. eurų. Organizuotos 6 stacionarios ir 11 dieninių stovyklų.  Stovyklų darbuotojams talkino </w:t>
            </w:r>
            <w:r>
              <w:rPr>
                <w:rFonts w:ascii="Times New Roman" w:hAnsi="Times New Roman" w:cs="Times New Roman"/>
                <w:sz w:val="24"/>
                <w:szCs w:val="24"/>
                <w:lang w:val="en-US"/>
              </w:rPr>
              <w:t xml:space="preserve">29 </w:t>
            </w:r>
            <w:proofErr w:type="spellStart"/>
            <w:r>
              <w:rPr>
                <w:rFonts w:ascii="Times New Roman" w:hAnsi="Times New Roman" w:cs="Times New Roman"/>
                <w:sz w:val="24"/>
                <w:szCs w:val="24"/>
                <w:lang w:val="en-US"/>
              </w:rPr>
              <w:t>savanoriai</w:t>
            </w:r>
            <w:proofErr w:type="spellEnd"/>
            <w:r>
              <w:rPr>
                <w:rFonts w:ascii="Times New Roman" w:hAnsi="Times New Roman" w:cs="Times New Roman"/>
                <w:sz w:val="24"/>
                <w:szCs w:val="24"/>
                <w:lang w:val="en-US"/>
              </w:rPr>
              <w:t xml:space="preserve">. </w:t>
            </w:r>
          </w:p>
        </w:tc>
      </w:tr>
    </w:tbl>
    <w:p w:rsidR="008D14B2" w:rsidRDefault="008D14B2" w:rsidP="001E13DA">
      <w:pPr>
        <w:pStyle w:val="Default"/>
        <w:tabs>
          <w:tab w:val="left" w:pos="567"/>
        </w:tabs>
        <w:jc w:val="center"/>
        <w:rPr>
          <w:b/>
        </w:rPr>
      </w:pPr>
    </w:p>
    <w:p w:rsidR="003E4B24" w:rsidRDefault="003E4B24" w:rsidP="001E13DA">
      <w:pPr>
        <w:pStyle w:val="Default"/>
        <w:tabs>
          <w:tab w:val="left" w:pos="567"/>
        </w:tabs>
        <w:jc w:val="center"/>
        <w:rPr>
          <w:b/>
        </w:rPr>
      </w:pPr>
      <w:r>
        <w:rPr>
          <w:b/>
        </w:rPr>
        <w:t>MOKYMASIS</w:t>
      </w:r>
    </w:p>
    <w:p w:rsidR="003E4B24" w:rsidRPr="00092995" w:rsidRDefault="003E4B24" w:rsidP="001E13DA">
      <w:pPr>
        <w:pStyle w:val="Default"/>
        <w:tabs>
          <w:tab w:val="left" w:pos="567"/>
        </w:tabs>
        <w:jc w:val="center"/>
        <w:rPr>
          <w:b/>
        </w:rPr>
      </w:pPr>
    </w:p>
    <w:tbl>
      <w:tblPr>
        <w:tblStyle w:val="Lentelstinklelis"/>
        <w:tblW w:w="0" w:type="auto"/>
        <w:tblLook w:val="04A0" w:firstRow="1" w:lastRow="0" w:firstColumn="1" w:lastColumn="0" w:noHBand="0" w:noVBand="1"/>
      </w:tblPr>
      <w:tblGrid>
        <w:gridCol w:w="1668"/>
        <w:gridCol w:w="2268"/>
        <w:gridCol w:w="5244"/>
        <w:gridCol w:w="4962"/>
      </w:tblGrid>
      <w:tr w:rsidR="003E4B24" w:rsidTr="008C4950">
        <w:tc>
          <w:tcPr>
            <w:tcW w:w="1668" w:type="dxa"/>
          </w:tcPr>
          <w:p w:rsidR="003E4B24" w:rsidRPr="006100FB" w:rsidRDefault="003E4B24" w:rsidP="008B6A31">
            <w:pPr>
              <w:pStyle w:val="Default"/>
              <w:tabs>
                <w:tab w:val="left" w:pos="567"/>
              </w:tabs>
              <w:jc w:val="center"/>
            </w:pPr>
            <w:r w:rsidRPr="006100FB">
              <w:t>Rodiklis</w:t>
            </w:r>
          </w:p>
        </w:tc>
        <w:tc>
          <w:tcPr>
            <w:tcW w:w="2268" w:type="dxa"/>
          </w:tcPr>
          <w:p w:rsidR="003E4B24" w:rsidRPr="006100FB" w:rsidRDefault="003E4B24" w:rsidP="008B6A31">
            <w:pPr>
              <w:pStyle w:val="Default"/>
              <w:tabs>
                <w:tab w:val="left" w:pos="567"/>
              </w:tabs>
              <w:jc w:val="center"/>
              <w:rPr>
                <w:lang w:val="en-US"/>
              </w:rPr>
            </w:pPr>
            <w:r w:rsidRPr="006100FB">
              <w:t>Siekinys 2020 m.</w:t>
            </w:r>
          </w:p>
        </w:tc>
        <w:tc>
          <w:tcPr>
            <w:tcW w:w="5244" w:type="dxa"/>
          </w:tcPr>
          <w:p w:rsidR="003E4B24" w:rsidRPr="006100FB" w:rsidRDefault="003E4B24" w:rsidP="008B6A31">
            <w:pPr>
              <w:pStyle w:val="Default"/>
              <w:tabs>
                <w:tab w:val="left" w:pos="567"/>
              </w:tabs>
              <w:jc w:val="center"/>
            </w:pPr>
            <w:r w:rsidRPr="006100FB">
              <w:t>Pasiektas rezultatas 2018 m.</w:t>
            </w:r>
          </w:p>
        </w:tc>
        <w:tc>
          <w:tcPr>
            <w:tcW w:w="4962" w:type="dxa"/>
          </w:tcPr>
          <w:p w:rsidR="003E4B24" w:rsidRPr="006100FB" w:rsidRDefault="003E4B24" w:rsidP="008B6A31">
            <w:pPr>
              <w:pStyle w:val="Default"/>
              <w:tabs>
                <w:tab w:val="left" w:pos="567"/>
              </w:tabs>
              <w:jc w:val="center"/>
            </w:pPr>
            <w:r w:rsidRPr="006100FB">
              <w:t>Išvados ir komentaras</w:t>
            </w:r>
          </w:p>
        </w:tc>
      </w:tr>
      <w:tr w:rsidR="006100FB" w:rsidTr="008C4950">
        <w:trPr>
          <w:trHeight w:val="3675"/>
        </w:trPr>
        <w:tc>
          <w:tcPr>
            <w:tcW w:w="1668" w:type="dxa"/>
            <w:vMerge w:val="restart"/>
          </w:tcPr>
          <w:p w:rsidR="006100FB" w:rsidRDefault="006100FB" w:rsidP="002F0CB2">
            <w:pPr>
              <w:pStyle w:val="Default"/>
              <w:tabs>
                <w:tab w:val="left" w:pos="567"/>
              </w:tabs>
            </w:pPr>
            <w:r>
              <w:t>Mokymosi kokybės  užtikrinimas</w:t>
            </w:r>
          </w:p>
        </w:tc>
        <w:tc>
          <w:tcPr>
            <w:tcW w:w="2268" w:type="dxa"/>
            <w:vMerge w:val="restart"/>
          </w:tcPr>
          <w:p w:rsidR="006100FB" w:rsidRDefault="006100FB" w:rsidP="002F0CB2">
            <w:pPr>
              <w:pStyle w:val="Default"/>
              <w:tabs>
                <w:tab w:val="left" w:pos="567"/>
              </w:tabs>
            </w:pPr>
            <w:r>
              <w:t>Siekis, kad  dauguma mokymosi rezultatų būtų aukštesni nei šalies vidurkis</w:t>
            </w:r>
          </w:p>
        </w:tc>
        <w:tc>
          <w:tcPr>
            <w:tcW w:w="5244" w:type="dxa"/>
          </w:tcPr>
          <w:p w:rsidR="006100FB" w:rsidRDefault="006100FB" w:rsidP="00B73F29">
            <w:pPr>
              <w:pStyle w:val="Default"/>
              <w:tabs>
                <w:tab w:val="left" w:pos="567"/>
              </w:tabs>
            </w:pPr>
            <w:r>
              <w:t>Pagrindinio ugdymo</w:t>
            </w:r>
            <w:r w:rsidR="007C7F41">
              <w:t xml:space="preserve"> lietuvių kalbos ir literatūros </w:t>
            </w:r>
            <w:r>
              <w:t xml:space="preserve"> pasiekimų </w:t>
            </w:r>
            <w:r w:rsidR="007C7F41">
              <w:t xml:space="preserve"> patikrinime </w:t>
            </w:r>
            <w:r>
              <w:t xml:space="preserve">aukštesnįjį lygį pasiekė </w:t>
            </w:r>
            <w:r>
              <w:rPr>
                <w:lang w:val="en-US"/>
              </w:rPr>
              <w:t>17,3 proc</w:t>
            </w:r>
            <w:r w:rsidR="007C7F41">
              <w:rPr>
                <w:lang w:val="en-US"/>
              </w:rPr>
              <w:t>.</w:t>
            </w:r>
            <w:r>
              <w:rPr>
                <w:lang w:val="en-US"/>
              </w:rPr>
              <w:t xml:space="preserve"> </w:t>
            </w:r>
            <w:proofErr w:type="spellStart"/>
            <w:proofErr w:type="gramStart"/>
            <w:r w:rsidR="008C4950">
              <w:rPr>
                <w:lang w:val="en-US"/>
              </w:rPr>
              <w:t>savivaldybės</w:t>
            </w:r>
            <w:proofErr w:type="spellEnd"/>
            <w:proofErr w:type="gramEnd"/>
            <w:r w:rsidR="008C4950">
              <w:rPr>
                <w:lang w:val="en-US"/>
              </w:rPr>
              <w:t xml:space="preserve"> </w:t>
            </w:r>
            <w:proofErr w:type="spellStart"/>
            <w:r>
              <w:rPr>
                <w:lang w:val="en-US"/>
              </w:rPr>
              <w:t>mokini</w:t>
            </w:r>
            <w:proofErr w:type="spellEnd"/>
            <w:r>
              <w:t xml:space="preserve">ų (šalyje – </w:t>
            </w:r>
            <w:r>
              <w:rPr>
                <w:lang w:val="en-US"/>
              </w:rPr>
              <w:t>12,4 proc.)</w:t>
            </w:r>
            <w:r>
              <w:t xml:space="preserve"> </w:t>
            </w:r>
          </w:p>
          <w:p w:rsidR="006100FB" w:rsidRDefault="006100FB" w:rsidP="00B73F29">
            <w:pPr>
              <w:pStyle w:val="Default"/>
              <w:tabs>
                <w:tab w:val="left" w:pos="567"/>
              </w:tabs>
            </w:pPr>
          </w:p>
          <w:p w:rsidR="006100FB" w:rsidRDefault="007C7F41" w:rsidP="007C7F41">
            <w:pPr>
              <w:pStyle w:val="Default"/>
              <w:tabs>
                <w:tab w:val="left" w:pos="567"/>
              </w:tabs>
            </w:pPr>
            <w:r>
              <w:t xml:space="preserve">Pagrindinio ugdymo lietuvių kalbos ir literatūros  pasiekimų  patikrinime </w:t>
            </w:r>
            <w:r w:rsidR="006100FB">
              <w:t xml:space="preserve"> pagrindinį  lygį pasiekė </w:t>
            </w:r>
            <w:r w:rsidR="006100FB">
              <w:rPr>
                <w:lang w:val="en-US"/>
              </w:rPr>
              <w:t>54,6 proc</w:t>
            </w:r>
            <w:r w:rsidR="008C4950">
              <w:rPr>
                <w:lang w:val="en-US"/>
              </w:rPr>
              <w:t xml:space="preserve">. </w:t>
            </w:r>
            <w:proofErr w:type="spellStart"/>
            <w:proofErr w:type="gramStart"/>
            <w:r w:rsidR="008C4950">
              <w:rPr>
                <w:lang w:val="en-US"/>
              </w:rPr>
              <w:t>savivaldybės</w:t>
            </w:r>
            <w:proofErr w:type="spellEnd"/>
            <w:proofErr w:type="gramEnd"/>
            <w:r w:rsidR="006100FB">
              <w:rPr>
                <w:lang w:val="en-US"/>
              </w:rPr>
              <w:t xml:space="preserve"> </w:t>
            </w:r>
            <w:proofErr w:type="spellStart"/>
            <w:r w:rsidR="006100FB">
              <w:rPr>
                <w:lang w:val="en-US"/>
              </w:rPr>
              <w:t>mokini</w:t>
            </w:r>
            <w:proofErr w:type="spellEnd"/>
            <w:r w:rsidR="006100FB">
              <w:t xml:space="preserve">ų (šalyje – </w:t>
            </w:r>
            <w:r w:rsidR="006100FB">
              <w:rPr>
                <w:lang w:val="en-US"/>
              </w:rPr>
              <w:t>53,6 proc.)</w:t>
            </w:r>
          </w:p>
        </w:tc>
        <w:tc>
          <w:tcPr>
            <w:tcW w:w="4962" w:type="dxa"/>
          </w:tcPr>
          <w:p w:rsidR="006100FB" w:rsidRDefault="007C7F41" w:rsidP="00B73F29">
            <w:pPr>
              <w:pStyle w:val="Default"/>
              <w:tabs>
                <w:tab w:val="left" w:pos="567"/>
              </w:tabs>
              <w:jc w:val="both"/>
              <w:rPr>
                <w:lang w:val="en-US"/>
              </w:rPr>
            </w:pPr>
            <w:r>
              <w:t xml:space="preserve">Pagrindinio ugdymo lietuvių kalbos ir literatūros  pasiekimų  patikrinime </w:t>
            </w:r>
            <w:r w:rsidR="006100FB">
              <w:t xml:space="preserve">pagrindinį ir aukštesnįjį lygį pasiekė </w:t>
            </w:r>
            <w:r w:rsidR="006100FB">
              <w:rPr>
                <w:lang w:val="en-US"/>
              </w:rPr>
              <w:t xml:space="preserve">71,9 proc., </w:t>
            </w:r>
            <w:proofErr w:type="spellStart"/>
            <w:proofErr w:type="gramStart"/>
            <w:r w:rsidR="006100FB">
              <w:rPr>
                <w:lang w:val="en-US"/>
              </w:rPr>
              <w:t>ir</w:t>
            </w:r>
            <w:proofErr w:type="spellEnd"/>
            <w:proofErr w:type="gramEnd"/>
            <w:r w:rsidR="006100FB">
              <w:rPr>
                <w:lang w:val="en-US"/>
              </w:rPr>
              <w:t xml:space="preserve"> tai </w:t>
            </w:r>
            <w:proofErr w:type="spellStart"/>
            <w:r w:rsidR="006100FB">
              <w:rPr>
                <w:lang w:val="en-US"/>
              </w:rPr>
              <w:t>ženkliai</w:t>
            </w:r>
            <w:proofErr w:type="spellEnd"/>
            <w:r w:rsidR="006100FB">
              <w:rPr>
                <w:lang w:val="en-US"/>
              </w:rPr>
              <w:t xml:space="preserve"> </w:t>
            </w:r>
            <w:proofErr w:type="spellStart"/>
            <w:r w:rsidR="006100FB">
              <w:rPr>
                <w:lang w:val="en-US"/>
              </w:rPr>
              <w:t>aukštesnis</w:t>
            </w:r>
            <w:proofErr w:type="spellEnd"/>
            <w:r w:rsidR="006100FB">
              <w:rPr>
                <w:lang w:val="en-US"/>
              </w:rPr>
              <w:t xml:space="preserve"> </w:t>
            </w:r>
            <w:proofErr w:type="spellStart"/>
            <w:r w:rsidR="006100FB">
              <w:rPr>
                <w:lang w:val="en-US"/>
              </w:rPr>
              <w:t>rezultatas</w:t>
            </w:r>
            <w:proofErr w:type="spellEnd"/>
            <w:r w:rsidR="006100FB">
              <w:rPr>
                <w:lang w:val="en-US"/>
              </w:rPr>
              <w:t xml:space="preserve"> </w:t>
            </w:r>
            <w:proofErr w:type="spellStart"/>
            <w:r w:rsidR="006100FB">
              <w:rPr>
                <w:lang w:val="en-US"/>
              </w:rPr>
              <w:t>nei</w:t>
            </w:r>
            <w:proofErr w:type="spellEnd"/>
            <w:r w:rsidR="006100FB">
              <w:rPr>
                <w:lang w:val="en-US"/>
              </w:rPr>
              <w:t xml:space="preserve"> </w:t>
            </w:r>
            <w:proofErr w:type="spellStart"/>
            <w:r w:rsidR="006100FB">
              <w:rPr>
                <w:lang w:val="en-US"/>
              </w:rPr>
              <w:t>šalyje</w:t>
            </w:r>
            <w:proofErr w:type="spellEnd"/>
            <w:r w:rsidR="006100FB">
              <w:rPr>
                <w:lang w:val="en-US"/>
              </w:rPr>
              <w:t xml:space="preserve"> (66 proc.). </w:t>
            </w:r>
          </w:p>
          <w:p w:rsidR="006100FB" w:rsidRDefault="006100FB" w:rsidP="00757EEF">
            <w:pPr>
              <w:pStyle w:val="Default"/>
              <w:tabs>
                <w:tab w:val="left" w:pos="567"/>
              </w:tabs>
              <w:jc w:val="both"/>
              <w:rPr>
                <w:lang w:val="en-US"/>
              </w:rPr>
            </w:pPr>
            <w:proofErr w:type="spellStart"/>
            <w:r>
              <w:rPr>
                <w:lang w:val="en-US"/>
              </w:rPr>
              <w:t>Patenkinamo</w:t>
            </w:r>
            <w:proofErr w:type="spellEnd"/>
            <w:r>
              <w:rPr>
                <w:lang w:val="en-US"/>
              </w:rPr>
              <w:t xml:space="preserve"> </w:t>
            </w:r>
            <w:proofErr w:type="spellStart"/>
            <w:r>
              <w:rPr>
                <w:lang w:val="en-US"/>
              </w:rPr>
              <w:t>lygio</w:t>
            </w:r>
            <w:proofErr w:type="spellEnd"/>
            <w:r>
              <w:rPr>
                <w:lang w:val="en-US"/>
              </w:rPr>
              <w:t xml:space="preserve"> </w:t>
            </w:r>
            <w:proofErr w:type="spellStart"/>
            <w:r>
              <w:rPr>
                <w:lang w:val="en-US"/>
              </w:rPr>
              <w:t>nepasiekė</w:t>
            </w:r>
            <w:proofErr w:type="spellEnd"/>
            <w:r>
              <w:rPr>
                <w:lang w:val="en-US"/>
              </w:rPr>
              <w:t xml:space="preserve"> 7</w:t>
            </w:r>
            <w:proofErr w:type="gramStart"/>
            <w:r>
              <w:rPr>
                <w:lang w:val="en-US"/>
              </w:rPr>
              <w:t>,8</w:t>
            </w:r>
            <w:proofErr w:type="gramEnd"/>
            <w:r>
              <w:rPr>
                <w:lang w:val="en-US"/>
              </w:rPr>
              <w:t xml:space="preserve"> proc.</w:t>
            </w:r>
            <w:r w:rsidR="008C4950">
              <w:rPr>
                <w:lang w:val="en-US"/>
              </w:rPr>
              <w:t xml:space="preserve"> </w:t>
            </w:r>
            <w:proofErr w:type="spellStart"/>
            <w:r w:rsidR="008C4950">
              <w:rPr>
                <w:lang w:val="en-US"/>
              </w:rPr>
              <w:t>savivaldybės</w:t>
            </w:r>
            <w:proofErr w:type="spellEnd"/>
            <w:r>
              <w:rPr>
                <w:lang w:val="en-US"/>
              </w:rPr>
              <w:t xml:space="preserve"> </w:t>
            </w:r>
            <w:proofErr w:type="spellStart"/>
            <w:r>
              <w:rPr>
                <w:lang w:val="en-US"/>
              </w:rPr>
              <w:t>mokini</w:t>
            </w:r>
            <w:proofErr w:type="spellEnd"/>
            <w:r>
              <w:t xml:space="preserve">ų  (šalyje- </w:t>
            </w:r>
            <w:r>
              <w:rPr>
                <w:lang w:val="en-US"/>
              </w:rPr>
              <w:t>7,3 proc.).</w:t>
            </w:r>
          </w:p>
          <w:p w:rsidR="006100FB" w:rsidRDefault="006100FB" w:rsidP="00757EEF">
            <w:pPr>
              <w:pStyle w:val="Default"/>
              <w:tabs>
                <w:tab w:val="left" w:pos="567"/>
              </w:tabs>
              <w:jc w:val="both"/>
            </w:pPr>
            <w:r>
              <w:t>Pagrindinio ugdymo</w:t>
            </w:r>
            <w:r w:rsidR="007C7F41">
              <w:t xml:space="preserve"> lietuvių kalbos ir literatūros </w:t>
            </w:r>
            <w:r>
              <w:t xml:space="preserve"> pasiekimų</w:t>
            </w:r>
            <w:r w:rsidR="008C4950">
              <w:t xml:space="preserve"> patikrinime</w:t>
            </w:r>
            <w:r>
              <w:t xml:space="preserve"> pagrindinį ir aukštesnįjį lygį pasiekusių savivaldybės mokinių dalis: 2014 m.-70,7 proc., 2015 m.- 69,4 proc., 2016 m.-74,5 proc.,  2017 m. – 70,6 proc.</w:t>
            </w:r>
          </w:p>
          <w:p w:rsidR="006100FB" w:rsidRPr="00757EEF" w:rsidRDefault="006100FB" w:rsidP="00BD3C54">
            <w:pPr>
              <w:pStyle w:val="Default"/>
              <w:tabs>
                <w:tab w:val="left" w:pos="567"/>
              </w:tabs>
              <w:jc w:val="both"/>
              <w:rPr>
                <w:lang w:val="en-US"/>
              </w:rPr>
            </w:pPr>
            <w:r>
              <w:t xml:space="preserve">Kiekvienais metais savivaldybėje Pagrindinio ugdymo pasiekimų lietuvių kalbos </w:t>
            </w:r>
            <w:r w:rsidR="008C4950">
              <w:t xml:space="preserve">ir literatūros </w:t>
            </w:r>
            <w:r>
              <w:t xml:space="preserve"> rezultatai aukštesni nei šalies.</w:t>
            </w:r>
          </w:p>
        </w:tc>
      </w:tr>
      <w:tr w:rsidR="006100FB" w:rsidTr="008C4950">
        <w:trPr>
          <w:trHeight w:val="3352"/>
        </w:trPr>
        <w:tc>
          <w:tcPr>
            <w:tcW w:w="1668" w:type="dxa"/>
            <w:vMerge/>
          </w:tcPr>
          <w:p w:rsidR="006100FB" w:rsidRDefault="006100FB" w:rsidP="002F0CB2">
            <w:pPr>
              <w:pStyle w:val="Default"/>
              <w:tabs>
                <w:tab w:val="left" w:pos="567"/>
              </w:tabs>
            </w:pPr>
          </w:p>
        </w:tc>
        <w:tc>
          <w:tcPr>
            <w:tcW w:w="2268" w:type="dxa"/>
            <w:vMerge/>
          </w:tcPr>
          <w:p w:rsidR="006100FB" w:rsidRDefault="006100FB" w:rsidP="002F0CB2">
            <w:pPr>
              <w:pStyle w:val="Default"/>
              <w:tabs>
                <w:tab w:val="left" w:pos="567"/>
              </w:tabs>
            </w:pPr>
          </w:p>
        </w:tc>
        <w:tc>
          <w:tcPr>
            <w:tcW w:w="5244" w:type="dxa"/>
          </w:tcPr>
          <w:p w:rsidR="006100FB" w:rsidRDefault="006100FB" w:rsidP="00E0406B">
            <w:pPr>
              <w:pStyle w:val="Default"/>
              <w:tabs>
                <w:tab w:val="left" w:pos="567"/>
              </w:tabs>
            </w:pPr>
            <w:r>
              <w:t xml:space="preserve">Pagrindinio ugdymo </w:t>
            </w:r>
            <w:r w:rsidR="008C4950">
              <w:t xml:space="preserve">matematikos </w:t>
            </w:r>
            <w:r>
              <w:t xml:space="preserve">pasiekimų </w:t>
            </w:r>
            <w:r w:rsidR="008C4950">
              <w:t xml:space="preserve">patikrinime </w:t>
            </w:r>
            <w:r>
              <w:t xml:space="preserve">aukštesnįjį lygį pasiekė </w:t>
            </w:r>
            <w:r>
              <w:rPr>
                <w:lang w:val="en-US"/>
              </w:rPr>
              <w:t>6,1 proc</w:t>
            </w:r>
            <w:r w:rsidR="008C4950">
              <w:rPr>
                <w:lang w:val="en-US"/>
              </w:rPr>
              <w:t xml:space="preserve">. </w:t>
            </w:r>
            <w:proofErr w:type="spellStart"/>
            <w:proofErr w:type="gramStart"/>
            <w:r w:rsidR="008C4950">
              <w:rPr>
                <w:lang w:val="en-US"/>
              </w:rPr>
              <w:t>savivaldybės</w:t>
            </w:r>
            <w:proofErr w:type="spellEnd"/>
            <w:proofErr w:type="gramEnd"/>
            <w:r>
              <w:rPr>
                <w:lang w:val="en-US"/>
              </w:rPr>
              <w:t xml:space="preserve"> </w:t>
            </w:r>
            <w:proofErr w:type="spellStart"/>
            <w:r>
              <w:rPr>
                <w:lang w:val="en-US"/>
              </w:rPr>
              <w:t>mokini</w:t>
            </w:r>
            <w:proofErr w:type="spellEnd"/>
            <w:r>
              <w:t xml:space="preserve">ų (šalyje – </w:t>
            </w:r>
            <w:r>
              <w:rPr>
                <w:lang w:val="en-US"/>
              </w:rPr>
              <w:t>6,2  proc.)</w:t>
            </w:r>
            <w:r>
              <w:t xml:space="preserve"> </w:t>
            </w:r>
          </w:p>
          <w:p w:rsidR="006100FB" w:rsidRDefault="006100FB" w:rsidP="00E0406B">
            <w:pPr>
              <w:pStyle w:val="Default"/>
              <w:tabs>
                <w:tab w:val="left" w:pos="567"/>
              </w:tabs>
            </w:pPr>
          </w:p>
          <w:p w:rsidR="006100FB" w:rsidRDefault="006100FB" w:rsidP="00E0406B">
            <w:pPr>
              <w:pStyle w:val="Default"/>
              <w:tabs>
                <w:tab w:val="left" w:pos="567"/>
              </w:tabs>
            </w:pPr>
            <w:r>
              <w:t xml:space="preserve">Pagrindinio ugdymo </w:t>
            </w:r>
            <w:r w:rsidR="008C4950">
              <w:t xml:space="preserve">matematikos </w:t>
            </w:r>
            <w:r>
              <w:t xml:space="preserve">pasiekimų </w:t>
            </w:r>
            <w:r w:rsidR="008C4950">
              <w:t xml:space="preserve">patikrinime </w:t>
            </w:r>
            <w:r>
              <w:t xml:space="preserve">pagrindinį lygį pasiekė </w:t>
            </w:r>
            <w:r>
              <w:rPr>
                <w:lang w:val="en-US"/>
              </w:rPr>
              <w:t>30,6 proc</w:t>
            </w:r>
            <w:r w:rsidR="008C4950">
              <w:rPr>
                <w:lang w:val="en-US"/>
              </w:rPr>
              <w:t>.</w:t>
            </w:r>
            <w:r>
              <w:rPr>
                <w:lang w:val="en-US"/>
              </w:rPr>
              <w:t xml:space="preserve"> </w:t>
            </w:r>
            <w:r w:rsidR="008C4950">
              <w:t xml:space="preserve">savivaldybės </w:t>
            </w:r>
            <w:proofErr w:type="spellStart"/>
            <w:r>
              <w:rPr>
                <w:lang w:val="en-US"/>
              </w:rPr>
              <w:t>mokini</w:t>
            </w:r>
            <w:proofErr w:type="spellEnd"/>
            <w:r>
              <w:t xml:space="preserve">ų (šalyje – </w:t>
            </w:r>
            <w:r>
              <w:rPr>
                <w:lang w:val="en-US"/>
              </w:rPr>
              <w:t>29  proc.)</w:t>
            </w:r>
            <w:r>
              <w:t xml:space="preserve"> </w:t>
            </w:r>
          </w:p>
          <w:p w:rsidR="006100FB" w:rsidRDefault="006100FB" w:rsidP="00E0406B">
            <w:pPr>
              <w:pStyle w:val="Default"/>
              <w:tabs>
                <w:tab w:val="left" w:pos="567"/>
              </w:tabs>
            </w:pPr>
          </w:p>
          <w:p w:rsidR="006100FB" w:rsidRDefault="006100FB" w:rsidP="00B73F29">
            <w:pPr>
              <w:pStyle w:val="Default"/>
              <w:tabs>
                <w:tab w:val="left" w:pos="567"/>
              </w:tabs>
            </w:pPr>
          </w:p>
        </w:tc>
        <w:tc>
          <w:tcPr>
            <w:tcW w:w="4962" w:type="dxa"/>
          </w:tcPr>
          <w:p w:rsidR="006100FB" w:rsidRDefault="006100FB" w:rsidP="002815EE">
            <w:pPr>
              <w:pStyle w:val="Default"/>
              <w:tabs>
                <w:tab w:val="left" w:pos="567"/>
              </w:tabs>
              <w:jc w:val="both"/>
              <w:rPr>
                <w:lang w:val="en-US"/>
              </w:rPr>
            </w:pPr>
            <w:r>
              <w:t xml:space="preserve">Pagrindinio ugdymo </w:t>
            </w:r>
            <w:r w:rsidR="008C4950">
              <w:t xml:space="preserve">matematikos </w:t>
            </w:r>
            <w:r>
              <w:t xml:space="preserve">pasiekimų </w:t>
            </w:r>
            <w:r w:rsidR="008C4950">
              <w:t xml:space="preserve">patikrinime </w:t>
            </w:r>
            <w:r>
              <w:t>pagrindinį ir aukštesnįjį lygį pasiekė 36,7</w:t>
            </w:r>
            <w:r w:rsidR="008C4950">
              <w:rPr>
                <w:lang w:val="en-US"/>
              </w:rPr>
              <w:t xml:space="preserve"> proc. </w:t>
            </w:r>
            <w:proofErr w:type="spellStart"/>
            <w:proofErr w:type="gramStart"/>
            <w:r w:rsidR="008C4950">
              <w:rPr>
                <w:lang w:val="en-US"/>
              </w:rPr>
              <w:t>savivaldybės</w:t>
            </w:r>
            <w:proofErr w:type="spellEnd"/>
            <w:proofErr w:type="gramEnd"/>
            <w:r w:rsidR="008C4950">
              <w:rPr>
                <w:lang w:val="en-US"/>
              </w:rPr>
              <w:t xml:space="preserve"> </w:t>
            </w:r>
            <w:proofErr w:type="spellStart"/>
            <w:r w:rsidR="008C4950">
              <w:rPr>
                <w:lang w:val="en-US"/>
              </w:rPr>
              <w:t>mokinių</w:t>
            </w:r>
            <w:proofErr w:type="spellEnd"/>
            <w:r w:rsidR="008C4950">
              <w:rPr>
                <w:lang w:val="en-US"/>
              </w:rPr>
              <w:t xml:space="preserve"> </w:t>
            </w:r>
            <w:proofErr w:type="spellStart"/>
            <w:r w:rsidR="008C4950">
              <w:rPr>
                <w:lang w:val="en-US"/>
              </w:rPr>
              <w:t>ir</w:t>
            </w:r>
            <w:proofErr w:type="spellEnd"/>
            <w:r w:rsidR="008C4950">
              <w:rPr>
                <w:lang w:val="en-US"/>
              </w:rPr>
              <w:t xml:space="preserve"> </w:t>
            </w:r>
            <w:r>
              <w:rPr>
                <w:lang w:val="en-US"/>
              </w:rPr>
              <w:t xml:space="preserve">tai </w:t>
            </w:r>
            <w:proofErr w:type="spellStart"/>
            <w:r>
              <w:rPr>
                <w:lang w:val="en-US"/>
              </w:rPr>
              <w:t>panašus</w:t>
            </w:r>
            <w:proofErr w:type="spellEnd"/>
            <w:r>
              <w:rPr>
                <w:lang w:val="en-US"/>
              </w:rPr>
              <w:t xml:space="preserve"> </w:t>
            </w:r>
            <w:proofErr w:type="spellStart"/>
            <w:r>
              <w:rPr>
                <w:lang w:val="en-US"/>
              </w:rPr>
              <w:t>rezultatas</w:t>
            </w:r>
            <w:proofErr w:type="spellEnd"/>
            <w:r>
              <w:rPr>
                <w:lang w:val="en-US"/>
              </w:rPr>
              <w:t xml:space="preserve"> </w:t>
            </w:r>
            <w:proofErr w:type="spellStart"/>
            <w:r>
              <w:rPr>
                <w:lang w:val="en-US"/>
              </w:rPr>
              <w:t>kaip</w:t>
            </w:r>
            <w:proofErr w:type="spellEnd"/>
            <w:r>
              <w:rPr>
                <w:lang w:val="en-US"/>
              </w:rPr>
              <w:t xml:space="preserve"> </w:t>
            </w:r>
            <w:proofErr w:type="spellStart"/>
            <w:r>
              <w:rPr>
                <w:lang w:val="en-US"/>
              </w:rPr>
              <w:t>šalyje</w:t>
            </w:r>
            <w:proofErr w:type="spellEnd"/>
            <w:r>
              <w:rPr>
                <w:lang w:val="en-US"/>
              </w:rPr>
              <w:t xml:space="preserve"> (35,2 proc.). </w:t>
            </w:r>
          </w:p>
          <w:p w:rsidR="006100FB" w:rsidRDefault="006100FB" w:rsidP="002815EE">
            <w:pPr>
              <w:pStyle w:val="Default"/>
              <w:tabs>
                <w:tab w:val="left" w:pos="567"/>
              </w:tabs>
              <w:jc w:val="both"/>
              <w:rPr>
                <w:lang w:val="en-US"/>
              </w:rPr>
            </w:pPr>
            <w:proofErr w:type="spellStart"/>
            <w:r>
              <w:rPr>
                <w:lang w:val="en-US"/>
              </w:rPr>
              <w:t>Patenkinamo</w:t>
            </w:r>
            <w:proofErr w:type="spellEnd"/>
            <w:r>
              <w:rPr>
                <w:lang w:val="en-US"/>
              </w:rPr>
              <w:t xml:space="preserve"> </w:t>
            </w:r>
            <w:proofErr w:type="spellStart"/>
            <w:r>
              <w:rPr>
                <w:lang w:val="en-US"/>
              </w:rPr>
              <w:t>lygio</w:t>
            </w:r>
            <w:proofErr w:type="spellEnd"/>
            <w:r>
              <w:rPr>
                <w:lang w:val="en-US"/>
              </w:rPr>
              <w:t xml:space="preserve"> </w:t>
            </w:r>
            <w:proofErr w:type="spellStart"/>
            <w:r>
              <w:rPr>
                <w:lang w:val="en-US"/>
              </w:rPr>
              <w:t>nepasiekė</w:t>
            </w:r>
            <w:proofErr w:type="spellEnd"/>
            <w:r>
              <w:rPr>
                <w:lang w:val="en-US"/>
              </w:rPr>
              <w:t xml:space="preserve"> 29</w:t>
            </w:r>
            <w:proofErr w:type="gramStart"/>
            <w:r>
              <w:rPr>
                <w:lang w:val="en-US"/>
              </w:rPr>
              <w:t>,8</w:t>
            </w:r>
            <w:proofErr w:type="gramEnd"/>
            <w:r>
              <w:rPr>
                <w:lang w:val="en-US"/>
              </w:rPr>
              <w:t xml:space="preserve"> proc.</w:t>
            </w:r>
            <w:r w:rsidR="008C4950">
              <w:rPr>
                <w:lang w:val="en-US"/>
              </w:rPr>
              <w:t xml:space="preserve"> </w:t>
            </w:r>
            <w:proofErr w:type="spellStart"/>
            <w:r w:rsidR="008C4950">
              <w:rPr>
                <w:lang w:val="en-US"/>
              </w:rPr>
              <w:t>savivaldybės</w:t>
            </w:r>
            <w:proofErr w:type="spellEnd"/>
            <w:r>
              <w:rPr>
                <w:lang w:val="en-US"/>
              </w:rPr>
              <w:t xml:space="preserve"> </w:t>
            </w:r>
            <w:proofErr w:type="spellStart"/>
            <w:r>
              <w:rPr>
                <w:lang w:val="en-US"/>
              </w:rPr>
              <w:t>mokini</w:t>
            </w:r>
            <w:proofErr w:type="spellEnd"/>
            <w:r>
              <w:t>ų  (šalyje- 28,</w:t>
            </w:r>
            <w:r>
              <w:rPr>
                <w:lang w:val="en-US"/>
              </w:rPr>
              <w:t>7 proc.).</w:t>
            </w:r>
          </w:p>
          <w:p w:rsidR="006100FB" w:rsidRDefault="006100FB" w:rsidP="00E36832">
            <w:pPr>
              <w:pStyle w:val="Default"/>
              <w:tabs>
                <w:tab w:val="left" w:pos="567"/>
              </w:tabs>
              <w:jc w:val="both"/>
            </w:pPr>
            <w:r>
              <w:t xml:space="preserve">Pagrindinio ugdymo </w:t>
            </w:r>
            <w:r w:rsidR="008C4950">
              <w:t xml:space="preserve">matematikos </w:t>
            </w:r>
            <w:r>
              <w:t>pasiekimų</w:t>
            </w:r>
            <w:r w:rsidR="008C4950">
              <w:t xml:space="preserve"> patikrinime </w:t>
            </w:r>
            <w:r>
              <w:t xml:space="preserve">pagrindinį ir aukštesnįjį lygį pasiekusių savivaldybės mokinių dalis: 2014 m.-53,3 proc., 2015 m.- 39,3 proc., 2016 m.-45,3 proc.,  2017 m. – 48,2 proc. </w:t>
            </w:r>
          </w:p>
          <w:p w:rsidR="006100FB" w:rsidRDefault="008C4950" w:rsidP="008C4950">
            <w:pPr>
              <w:pStyle w:val="Default"/>
              <w:tabs>
                <w:tab w:val="left" w:pos="567"/>
              </w:tabs>
              <w:jc w:val="both"/>
            </w:pPr>
            <w:r>
              <w:t>2014 - 2017 m. p</w:t>
            </w:r>
            <w:r w:rsidR="006100FB">
              <w:t xml:space="preserve">agrindinio ugdymo </w:t>
            </w:r>
            <w:r>
              <w:t xml:space="preserve">matematikos </w:t>
            </w:r>
            <w:r w:rsidR="006100FB">
              <w:t xml:space="preserve">pasiekimų </w:t>
            </w:r>
            <w:r>
              <w:t xml:space="preserve">patikrinimo </w:t>
            </w:r>
            <w:r w:rsidR="006100FB">
              <w:t>rezultatai žemesni nei šalies.</w:t>
            </w:r>
          </w:p>
        </w:tc>
      </w:tr>
      <w:tr w:rsidR="006100FB" w:rsidTr="008C4950">
        <w:trPr>
          <w:trHeight w:val="1500"/>
        </w:trPr>
        <w:tc>
          <w:tcPr>
            <w:tcW w:w="1668" w:type="dxa"/>
            <w:vMerge/>
          </w:tcPr>
          <w:p w:rsidR="006100FB" w:rsidRDefault="006100FB" w:rsidP="001E13DA">
            <w:pPr>
              <w:pStyle w:val="Default"/>
              <w:tabs>
                <w:tab w:val="left" w:pos="567"/>
              </w:tabs>
              <w:jc w:val="center"/>
            </w:pPr>
          </w:p>
        </w:tc>
        <w:tc>
          <w:tcPr>
            <w:tcW w:w="2268" w:type="dxa"/>
            <w:vMerge/>
          </w:tcPr>
          <w:p w:rsidR="006100FB" w:rsidRDefault="006100FB" w:rsidP="001E13DA">
            <w:pPr>
              <w:pStyle w:val="Default"/>
              <w:tabs>
                <w:tab w:val="left" w:pos="567"/>
              </w:tabs>
              <w:jc w:val="center"/>
            </w:pPr>
          </w:p>
        </w:tc>
        <w:tc>
          <w:tcPr>
            <w:tcW w:w="5244" w:type="dxa"/>
            <w:tcBorders>
              <w:bottom w:val="single" w:sz="4" w:space="0" w:color="auto"/>
              <w:right w:val="single" w:sz="4" w:space="0" w:color="auto"/>
            </w:tcBorders>
          </w:tcPr>
          <w:p w:rsidR="006100FB" w:rsidRDefault="006100FB" w:rsidP="008C4950">
            <w:pPr>
              <w:pStyle w:val="Default"/>
              <w:tabs>
                <w:tab w:val="left" w:pos="567"/>
              </w:tabs>
            </w:pPr>
            <w:r>
              <w:t>Valstybinį lietuvių kalbos  ir literatūros</w:t>
            </w:r>
            <w:r w:rsidR="008C4950">
              <w:t xml:space="preserve"> brandos</w:t>
            </w:r>
            <w:r>
              <w:t xml:space="preserve"> egzaminą aukštesniuoju lygiu (</w:t>
            </w:r>
            <w:r>
              <w:rPr>
                <w:lang w:val="en-US"/>
              </w:rPr>
              <w:t xml:space="preserve">86-100 </w:t>
            </w:r>
            <w:proofErr w:type="spellStart"/>
            <w:r>
              <w:rPr>
                <w:lang w:val="en-US"/>
              </w:rPr>
              <w:t>bal</w:t>
            </w:r>
            <w:proofErr w:type="spellEnd"/>
            <w:r>
              <w:t xml:space="preserve">ų) išlaikė </w:t>
            </w:r>
            <w:r>
              <w:rPr>
                <w:lang w:val="en-US"/>
              </w:rPr>
              <w:t xml:space="preserve">12 proc. </w:t>
            </w:r>
            <w:r w:rsidR="008C4950">
              <w:rPr>
                <w:lang w:val="en-US"/>
              </w:rPr>
              <w:t xml:space="preserve"> </w:t>
            </w:r>
            <w:proofErr w:type="spellStart"/>
            <w:proofErr w:type="gramStart"/>
            <w:r>
              <w:rPr>
                <w:lang w:val="en-US"/>
              </w:rPr>
              <w:t>abiturientų</w:t>
            </w:r>
            <w:proofErr w:type="spellEnd"/>
            <w:proofErr w:type="gramEnd"/>
            <w:r>
              <w:t xml:space="preserve"> (šalyje – </w:t>
            </w:r>
            <w:r>
              <w:rPr>
                <w:lang w:val="en-US"/>
              </w:rPr>
              <w:t xml:space="preserve">11,23 proc.), </w:t>
            </w:r>
            <w:proofErr w:type="spellStart"/>
            <w:r>
              <w:rPr>
                <w:lang w:val="en-US"/>
              </w:rPr>
              <w:t>pagrindiniu</w:t>
            </w:r>
            <w:proofErr w:type="spellEnd"/>
            <w:r>
              <w:rPr>
                <w:lang w:val="en-US"/>
              </w:rPr>
              <w:t xml:space="preserve"> </w:t>
            </w:r>
            <w:proofErr w:type="spellStart"/>
            <w:r>
              <w:rPr>
                <w:lang w:val="en-US"/>
              </w:rPr>
              <w:t>lygiu</w:t>
            </w:r>
            <w:proofErr w:type="spellEnd"/>
            <w:r>
              <w:rPr>
                <w:lang w:val="en-US"/>
              </w:rPr>
              <w:t xml:space="preserve"> (35-85 </w:t>
            </w:r>
            <w:proofErr w:type="spellStart"/>
            <w:r>
              <w:rPr>
                <w:lang w:val="en-US"/>
              </w:rPr>
              <w:t>balai</w:t>
            </w:r>
            <w:proofErr w:type="spellEnd"/>
            <w:r>
              <w:rPr>
                <w:lang w:val="en-US"/>
              </w:rPr>
              <w:t xml:space="preserve">) </w:t>
            </w:r>
            <w:proofErr w:type="spellStart"/>
            <w:r>
              <w:rPr>
                <w:lang w:val="en-US"/>
              </w:rPr>
              <w:t>išlaikė</w:t>
            </w:r>
            <w:proofErr w:type="spellEnd"/>
            <w:r>
              <w:rPr>
                <w:lang w:val="en-US"/>
              </w:rPr>
              <w:t xml:space="preserve"> 53,49 proc.  </w:t>
            </w:r>
            <w:proofErr w:type="spellStart"/>
            <w:proofErr w:type="gramStart"/>
            <w:r>
              <w:rPr>
                <w:lang w:val="en-US"/>
              </w:rPr>
              <w:t>abiturientų</w:t>
            </w:r>
            <w:proofErr w:type="spellEnd"/>
            <w:proofErr w:type="gramEnd"/>
            <w:r>
              <w:t xml:space="preserve"> (šalyje – 47,47</w:t>
            </w:r>
            <w:r>
              <w:rPr>
                <w:lang w:val="en-US"/>
              </w:rPr>
              <w:t xml:space="preserve"> proc.). </w:t>
            </w:r>
            <w:r>
              <w:t xml:space="preserve"> </w:t>
            </w:r>
          </w:p>
        </w:tc>
        <w:tc>
          <w:tcPr>
            <w:tcW w:w="4962" w:type="dxa"/>
            <w:tcBorders>
              <w:top w:val="single" w:sz="4" w:space="0" w:color="auto"/>
              <w:left w:val="single" w:sz="4" w:space="0" w:color="auto"/>
              <w:bottom w:val="single" w:sz="4" w:space="0" w:color="auto"/>
              <w:right w:val="single" w:sz="4" w:space="0" w:color="auto"/>
            </w:tcBorders>
          </w:tcPr>
          <w:p w:rsidR="006100FB" w:rsidRDefault="006100FB" w:rsidP="00BD3C54">
            <w:pPr>
              <w:pStyle w:val="Default"/>
              <w:tabs>
                <w:tab w:val="left" w:pos="567"/>
              </w:tabs>
            </w:pPr>
            <w:r>
              <w:rPr>
                <w:lang w:val="en-US"/>
              </w:rPr>
              <w:t>2014- 2017</w:t>
            </w:r>
            <w:r>
              <w:t xml:space="preserve"> metais lietuvių kalbos ir </w:t>
            </w:r>
            <w:proofErr w:type="gramStart"/>
            <w:r>
              <w:t>literatūros  brandos</w:t>
            </w:r>
            <w:proofErr w:type="gramEnd"/>
            <w:r>
              <w:t xml:space="preserve"> egzaminų  rezultatai (mokinių, gavusių 36-100 balų</w:t>
            </w:r>
            <w:r w:rsidR="008C4950">
              <w:t xml:space="preserve"> įvertinimai)</w:t>
            </w:r>
            <w:r>
              <w:t xml:space="preserve"> aukštesni nei šalies.</w:t>
            </w:r>
          </w:p>
        </w:tc>
      </w:tr>
      <w:tr w:rsidR="006100FB" w:rsidTr="008C4950">
        <w:trPr>
          <w:trHeight w:val="1463"/>
        </w:trPr>
        <w:tc>
          <w:tcPr>
            <w:tcW w:w="1668" w:type="dxa"/>
            <w:vMerge/>
          </w:tcPr>
          <w:p w:rsidR="006100FB" w:rsidRDefault="006100FB" w:rsidP="001E13DA">
            <w:pPr>
              <w:pStyle w:val="Default"/>
              <w:tabs>
                <w:tab w:val="left" w:pos="567"/>
              </w:tabs>
              <w:jc w:val="center"/>
            </w:pPr>
          </w:p>
        </w:tc>
        <w:tc>
          <w:tcPr>
            <w:tcW w:w="2268" w:type="dxa"/>
            <w:vMerge/>
          </w:tcPr>
          <w:p w:rsidR="006100FB" w:rsidRDefault="006100FB" w:rsidP="001E13DA">
            <w:pPr>
              <w:pStyle w:val="Default"/>
              <w:tabs>
                <w:tab w:val="left" w:pos="567"/>
              </w:tabs>
              <w:jc w:val="center"/>
            </w:pPr>
          </w:p>
        </w:tc>
        <w:tc>
          <w:tcPr>
            <w:tcW w:w="5244" w:type="dxa"/>
          </w:tcPr>
          <w:p w:rsidR="006100FB" w:rsidRDefault="006100FB" w:rsidP="008C4950">
            <w:pPr>
              <w:pStyle w:val="Default"/>
              <w:tabs>
                <w:tab w:val="left" w:pos="567"/>
              </w:tabs>
            </w:pPr>
            <w:r>
              <w:t xml:space="preserve">Valstybinį matematikos </w:t>
            </w:r>
            <w:r w:rsidR="008C4950">
              <w:t xml:space="preserve">brandos </w:t>
            </w:r>
            <w:r>
              <w:t>egzaminą aukštesniuoju lygiu (</w:t>
            </w:r>
            <w:r>
              <w:rPr>
                <w:lang w:val="en-US"/>
              </w:rPr>
              <w:t xml:space="preserve">86-100 </w:t>
            </w:r>
            <w:proofErr w:type="spellStart"/>
            <w:r>
              <w:rPr>
                <w:lang w:val="en-US"/>
              </w:rPr>
              <w:t>bal</w:t>
            </w:r>
            <w:proofErr w:type="spellEnd"/>
            <w:r>
              <w:t>ų) išlaikė 3,38</w:t>
            </w:r>
            <w:r w:rsidR="008C4950">
              <w:rPr>
                <w:lang w:val="en-US"/>
              </w:rPr>
              <w:t xml:space="preserve"> proc.</w:t>
            </w:r>
            <w:r w:rsidR="008C4950">
              <w:t xml:space="preserve"> </w:t>
            </w:r>
            <w:r w:rsidR="008C4950">
              <w:rPr>
                <w:lang w:val="en-US"/>
              </w:rPr>
              <w:t xml:space="preserve"> </w:t>
            </w:r>
            <w:proofErr w:type="spellStart"/>
            <w:proofErr w:type="gramStart"/>
            <w:r>
              <w:rPr>
                <w:lang w:val="en-US"/>
              </w:rPr>
              <w:t>abiturientų</w:t>
            </w:r>
            <w:proofErr w:type="spellEnd"/>
            <w:proofErr w:type="gramEnd"/>
            <w:r>
              <w:t xml:space="preserve"> (šalyje – 6,49</w:t>
            </w:r>
            <w:r>
              <w:rPr>
                <w:lang w:val="en-US"/>
              </w:rPr>
              <w:t xml:space="preserve"> proc.), </w:t>
            </w:r>
            <w:proofErr w:type="spellStart"/>
            <w:r>
              <w:rPr>
                <w:lang w:val="en-US"/>
              </w:rPr>
              <w:t>pagrindiniu</w:t>
            </w:r>
            <w:proofErr w:type="spellEnd"/>
            <w:r>
              <w:rPr>
                <w:lang w:val="en-US"/>
              </w:rPr>
              <w:t xml:space="preserve"> </w:t>
            </w:r>
            <w:proofErr w:type="spellStart"/>
            <w:r>
              <w:rPr>
                <w:lang w:val="en-US"/>
              </w:rPr>
              <w:t>lygiu</w:t>
            </w:r>
            <w:proofErr w:type="spellEnd"/>
            <w:r>
              <w:rPr>
                <w:lang w:val="en-US"/>
              </w:rPr>
              <w:t xml:space="preserve"> (35-85 </w:t>
            </w:r>
            <w:proofErr w:type="spellStart"/>
            <w:r>
              <w:rPr>
                <w:lang w:val="en-US"/>
              </w:rPr>
              <w:t>balai</w:t>
            </w:r>
            <w:proofErr w:type="spellEnd"/>
            <w:r>
              <w:rPr>
                <w:lang w:val="en-US"/>
              </w:rPr>
              <w:t xml:space="preserve">) </w:t>
            </w:r>
            <w:proofErr w:type="spellStart"/>
            <w:r>
              <w:rPr>
                <w:lang w:val="en-US"/>
              </w:rPr>
              <w:t>išlaikė</w:t>
            </w:r>
            <w:proofErr w:type="spellEnd"/>
            <w:r>
              <w:rPr>
                <w:lang w:val="en-US"/>
              </w:rPr>
              <w:t xml:space="preserve"> 29,96 proc.  </w:t>
            </w:r>
            <w:proofErr w:type="spellStart"/>
            <w:proofErr w:type="gramStart"/>
            <w:r>
              <w:rPr>
                <w:lang w:val="en-US"/>
              </w:rPr>
              <w:t>abiturientų</w:t>
            </w:r>
            <w:proofErr w:type="spellEnd"/>
            <w:proofErr w:type="gramEnd"/>
            <w:r>
              <w:t xml:space="preserve"> (šalyje – 30,38</w:t>
            </w:r>
            <w:r>
              <w:rPr>
                <w:lang w:val="en-US"/>
              </w:rPr>
              <w:t xml:space="preserve"> proc.). </w:t>
            </w:r>
            <w:r>
              <w:t xml:space="preserve"> </w:t>
            </w:r>
          </w:p>
        </w:tc>
        <w:tc>
          <w:tcPr>
            <w:tcW w:w="4962" w:type="dxa"/>
            <w:tcBorders>
              <w:top w:val="single" w:sz="4" w:space="0" w:color="auto"/>
            </w:tcBorders>
          </w:tcPr>
          <w:p w:rsidR="006100FB" w:rsidRDefault="006100FB" w:rsidP="003E5530">
            <w:pPr>
              <w:pStyle w:val="Default"/>
              <w:tabs>
                <w:tab w:val="left" w:pos="567"/>
              </w:tabs>
            </w:pPr>
            <w:r>
              <w:t xml:space="preserve">Pastaraisiais </w:t>
            </w:r>
            <w:r>
              <w:rPr>
                <w:lang w:val="en-US"/>
              </w:rPr>
              <w:t>2014- 2017</w:t>
            </w:r>
            <w:r>
              <w:t xml:space="preserve"> metais matematikos brandos egzaminų  rezultatai žemesni nei šalies.</w:t>
            </w:r>
          </w:p>
        </w:tc>
      </w:tr>
      <w:tr w:rsidR="00BD3C54" w:rsidTr="008C4950">
        <w:trPr>
          <w:trHeight w:val="1345"/>
        </w:trPr>
        <w:tc>
          <w:tcPr>
            <w:tcW w:w="1668" w:type="dxa"/>
            <w:vMerge w:val="restart"/>
          </w:tcPr>
          <w:p w:rsidR="00BD3C54" w:rsidRDefault="00D70901" w:rsidP="00D70901">
            <w:pPr>
              <w:pStyle w:val="Default"/>
              <w:tabs>
                <w:tab w:val="left" w:pos="567"/>
              </w:tabs>
              <w:jc w:val="center"/>
            </w:pPr>
            <w:r>
              <w:t>Mokymosi  sėkmingumas</w:t>
            </w:r>
          </w:p>
        </w:tc>
        <w:tc>
          <w:tcPr>
            <w:tcW w:w="2268" w:type="dxa"/>
            <w:vMerge w:val="restart"/>
          </w:tcPr>
          <w:p w:rsidR="006100FB" w:rsidRDefault="006100FB" w:rsidP="006100FB">
            <w:pPr>
              <w:pStyle w:val="Default"/>
              <w:tabs>
                <w:tab w:val="left" w:pos="567"/>
              </w:tabs>
            </w:pPr>
            <w:r>
              <w:t>Maksimali reikš</w:t>
            </w:r>
            <w:r w:rsidRPr="00D95FC5">
              <w:t>m</w:t>
            </w:r>
            <w:r>
              <w:t>ė-  9</w:t>
            </w:r>
            <w:r>
              <w:rPr>
                <w:lang w:val="en-US"/>
              </w:rPr>
              <w:t xml:space="preserve">7 </w:t>
            </w:r>
            <w:r w:rsidRPr="00D95FC5">
              <w:t xml:space="preserve"> proc. </w:t>
            </w:r>
          </w:p>
          <w:p w:rsidR="00BD3C54" w:rsidRDefault="00A22C1D" w:rsidP="006100FB">
            <w:pPr>
              <w:pStyle w:val="Default"/>
              <w:tabs>
                <w:tab w:val="left" w:pos="567"/>
              </w:tabs>
            </w:pPr>
            <w:r>
              <w:t xml:space="preserve">Siekis, kad   kuo daugiau </w:t>
            </w:r>
            <w:r w:rsidR="006100FB">
              <w:t xml:space="preserve">jaunuolių įgytų </w:t>
            </w:r>
            <w:r w:rsidR="008C4950">
              <w:t xml:space="preserve">vidurinį </w:t>
            </w:r>
            <w:r w:rsidR="006100FB">
              <w:t>išsilavinimą</w:t>
            </w:r>
            <w:r>
              <w:t xml:space="preserve"> </w:t>
            </w:r>
          </w:p>
        </w:tc>
        <w:tc>
          <w:tcPr>
            <w:tcW w:w="5244" w:type="dxa"/>
          </w:tcPr>
          <w:p w:rsidR="00BD3C54" w:rsidRPr="00407835" w:rsidRDefault="00BD3C54" w:rsidP="0087390D">
            <w:pPr>
              <w:pStyle w:val="Default"/>
              <w:tabs>
                <w:tab w:val="left" w:pos="567"/>
              </w:tabs>
              <w:rPr>
                <w:lang w:val="en-US"/>
              </w:rPr>
            </w:pPr>
            <w:r>
              <w:t>Pagrindinį išsilavinimą įgijo 9</w:t>
            </w:r>
            <w:r>
              <w:rPr>
                <w:lang w:val="en-US"/>
              </w:rPr>
              <w:t xml:space="preserve">6,3 proc. </w:t>
            </w:r>
            <w:proofErr w:type="spellStart"/>
            <w:proofErr w:type="gramStart"/>
            <w:r>
              <w:rPr>
                <w:lang w:val="en-US"/>
              </w:rPr>
              <w:t>baigusiųjų</w:t>
            </w:r>
            <w:proofErr w:type="spellEnd"/>
            <w:r>
              <w:rPr>
                <w:lang w:val="en-US"/>
              </w:rPr>
              <w:t xml:space="preserve">  (</w:t>
            </w:r>
            <w:proofErr w:type="spellStart"/>
            <w:proofErr w:type="gramEnd"/>
            <w:r>
              <w:rPr>
                <w:lang w:val="en-US"/>
              </w:rPr>
              <w:t>šalyje</w:t>
            </w:r>
            <w:proofErr w:type="spellEnd"/>
            <w:r>
              <w:rPr>
                <w:lang w:val="en-US"/>
              </w:rPr>
              <w:t xml:space="preserve"> - </w:t>
            </w:r>
            <w:r>
              <w:t xml:space="preserve"> </w:t>
            </w:r>
            <w:r>
              <w:rPr>
                <w:lang w:val="en-US"/>
              </w:rPr>
              <w:t xml:space="preserve">91,6 proc.), </w:t>
            </w:r>
            <w:proofErr w:type="spellStart"/>
            <w:r>
              <w:rPr>
                <w:lang w:val="en-US"/>
              </w:rPr>
              <w:t>i</w:t>
            </w:r>
            <w:proofErr w:type="spellEnd"/>
            <w:r>
              <w:t>š jų tęsia mokslą gimnazijose ir profesinėse mokyklose 9</w:t>
            </w:r>
            <w:r>
              <w:rPr>
                <w:lang w:val="en-US"/>
              </w:rPr>
              <w:t>6,9 proc..</w:t>
            </w:r>
          </w:p>
        </w:tc>
        <w:tc>
          <w:tcPr>
            <w:tcW w:w="4962" w:type="dxa"/>
          </w:tcPr>
          <w:p w:rsidR="00BD3C54" w:rsidRDefault="00BD3C54" w:rsidP="00423FD5">
            <w:pPr>
              <w:pStyle w:val="Default"/>
              <w:tabs>
                <w:tab w:val="left" w:pos="567"/>
              </w:tabs>
              <w:jc w:val="both"/>
            </w:pPr>
            <w:r>
              <w:t>Kiekvienais metais  dalis mokinių, įgijusių  pagrindinį išsilavinimą   didėja.  Pvz. 2014 m.-94,2 proc., 2015 m. - 96,1 proc.  Maž</w:t>
            </w:r>
            <w:r w:rsidR="00423FD5">
              <w:t>ėja  savivaldybės mokinių, įgijusių pagrindinį išsilavinimą, dalis</w:t>
            </w:r>
            <w:r>
              <w:t xml:space="preserve"> tęsiančių mokslą profesinėse mokyklose.</w:t>
            </w:r>
          </w:p>
        </w:tc>
      </w:tr>
      <w:tr w:rsidR="00BD3C54" w:rsidTr="008C4950">
        <w:trPr>
          <w:trHeight w:val="1781"/>
        </w:trPr>
        <w:tc>
          <w:tcPr>
            <w:tcW w:w="1668" w:type="dxa"/>
            <w:vMerge/>
          </w:tcPr>
          <w:p w:rsidR="00BD3C54" w:rsidRDefault="00BD3C54" w:rsidP="001E13DA">
            <w:pPr>
              <w:pStyle w:val="Default"/>
              <w:tabs>
                <w:tab w:val="left" w:pos="567"/>
              </w:tabs>
              <w:jc w:val="center"/>
            </w:pPr>
          </w:p>
        </w:tc>
        <w:tc>
          <w:tcPr>
            <w:tcW w:w="2268" w:type="dxa"/>
            <w:vMerge/>
          </w:tcPr>
          <w:p w:rsidR="00BD3C54" w:rsidRDefault="00BD3C54" w:rsidP="001E13DA">
            <w:pPr>
              <w:pStyle w:val="Default"/>
              <w:tabs>
                <w:tab w:val="left" w:pos="567"/>
              </w:tabs>
              <w:jc w:val="center"/>
            </w:pPr>
          </w:p>
        </w:tc>
        <w:tc>
          <w:tcPr>
            <w:tcW w:w="5244" w:type="dxa"/>
          </w:tcPr>
          <w:p w:rsidR="00BD3C54" w:rsidRDefault="00D70901" w:rsidP="00D70901">
            <w:pPr>
              <w:pStyle w:val="Default"/>
              <w:tabs>
                <w:tab w:val="left" w:pos="567"/>
              </w:tabs>
            </w:pPr>
            <w:r>
              <w:t>Vidurinį išsilavinimą įgijo 9</w:t>
            </w:r>
            <w:r>
              <w:rPr>
                <w:lang w:val="en-US"/>
              </w:rPr>
              <w:t xml:space="preserve">5,4 proc. </w:t>
            </w:r>
            <w:proofErr w:type="spellStart"/>
            <w:r>
              <w:rPr>
                <w:lang w:val="en-US"/>
              </w:rPr>
              <w:t>baigusiųjų</w:t>
            </w:r>
            <w:proofErr w:type="spellEnd"/>
            <w:r>
              <w:rPr>
                <w:lang w:val="en-US"/>
              </w:rPr>
              <w:t xml:space="preserve"> </w:t>
            </w:r>
            <w:proofErr w:type="spellStart"/>
            <w:r>
              <w:rPr>
                <w:lang w:val="en-US"/>
              </w:rPr>
              <w:t>gimnazijas</w:t>
            </w:r>
            <w:proofErr w:type="spellEnd"/>
            <w:r>
              <w:rPr>
                <w:lang w:val="en-US"/>
              </w:rPr>
              <w:t xml:space="preserve">  (</w:t>
            </w:r>
            <w:proofErr w:type="spellStart"/>
            <w:r>
              <w:rPr>
                <w:lang w:val="en-US"/>
              </w:rPr>
              <w:t>šalyje</w:t>
            </w:r>
            <w:proofErr w:type="spellEnd"/>
            <w:r>
              <w:rPr>
                <w:lang w:val="en-US"/>
              </w:rPr>
              <w:t xml:space="preserve"> - </w:t>
            </w:r>
            <w:r>
              <w:t xml:space="preserve"> 8</w:t>
            </w:r>
            <w:r>
              <w:rPr>
                <w:lang w:val="en-US"/>
              </w:rPr>
              <w:t xml:space="preserve">9,3 proc.), </w:t>
            </w:r>
            <w:proofErr w:type="spellStart"/>
            <w:r>
              <w:rPr>
                <w:lang w:val="en-US"/>
              </w:rPr>
              <w:t>i</w:t>
            </w:r>
            <w:proofErr w:type="spellEnd"/>
            <w:r>
              <w:t xml:space="preserve">š jų tęsia mokslą </w:t>
            </w:r>
            <w:r w:rsidR="00423FD5">
              <w:t>-</w:t>
            </w:r>
            <w:r>
              <w:t>72,1</w:t>
            </w:r>
            <w:r>
              <w:rPr>
                <w:lang w:val="en-US"/>
              </w:rPr>
              <w:t xml:space="preserve"> proc.</w:t>
            </w:r>
          </w:p>
        </w:tc>
        <w:tc>
          <w:tcPr>
            <w:tcW w:w="4962" w:type="dxa"/>
          </w:tcPr>
          <w:p w:rsidR="00D70901" w:rsidRDefault="00D70901" w:rsidP="0087390D">
            <w:pPr>
              <w:pStyle w:val="Default"/>
              <w:tabs>
                <w:tab w:val="left" w:pos="567"/>
              </w:tabs>
              <w:jc w:val="both"/>
              <w:rPr>
                <w:lang w:val="en-US"/>
              </w:rPr>
            </w:pPr>
            <w:r>
              <w:t xml:space="preserve"> Daigiausiai baigusiųjų  </w:t>
            </w:r>
            <w:r w:rsidR="008C4950">
              <w:t xml:space="preserve">gimnazijas </w:t>
            </w:r>
            <w:r>
              <w:t xml:space="preserve">mokinių   </w:t>
            </w:r>
            <w:r>
              <w:rPr>
                <w:lang w:val="en-US"/>
              </w:rPr>
              <w:t xml:space="preserve">2018 m. </w:t>
            </w:r>
            <w:proofErr w:type="spellStart"/>
            <w:proofErr w:type="gramStart"/>
            <w:r>
              <w:rPr>
                <w:lang w:val="en-US"/>
              </w:rPr>
              <w:t>p</w:t>
            </w:r>
            <w:r w:rsidR="008C4950">
              <w:rPr>
                <w:lang w:val="en-US"/>
              </w:rPr>
              <w:t>a</w:t>
            </w:r>
            <w:r>
              <w:rPr>
                <w:lang w:val="en-US"/>
              </w:rPr>
              <w:t>sirinko</w:t>
            </w:r>
            <w:proofErr w:type="spellEnd"/>
            <w:proofErr w:type="gramEnd"/>
            <w:r>
              <w:rPr>
                <w:lang w:val="en-US"/>
              </w:rPr>
              <w:t xml:space="preserve"> </w:t>
            </w:r>
            <w:proofErr w:type="spellStart"/>
            <w:r>
              <w:rPr>
                <w:lang w:val="en-US"/>
              </w:rPr>
              <w:t>Lietuvos</w:t>
            </w:r>
            <w:proofErr w:type="spellEnd"/>
            <w:r>
              <w:rPr>
                <w:lang w:val="en-US"/>
              </w:rPr>
              <w:t xml:space="preserve"> </w:t>
            </w:r>
            <w:proofErr w:type="spellStart"/>
            <w:r>
              <w:rPr>
                <w:lang w:val="en-US"/>
              </w:rPr>
              <w:t>univesitetus</w:t>
            </w:r>
            <w:proofErr w:type="spellEnd"/>
            <w:r>
              <w:rPr>
                <w:lang w:val="en-US"/>
              </w:rPr>
              <w:t xml:space="preserve"> (31,8 proc.), </w:t>
            </w:r>
            <w:proofErr w:type="spellStart"/>
            <w:r>
              <w:rPr>
                <w:lang w:val="en-US"/>
              </w:rPr>
              <w:t>kolegijas</w:t>
            </w:r>
            <w:proofErr w:type="spellEnd"/>
            <w:r>
              <w:rPr>
                <w:lang w:val="en-US"/>
              </w:rPr>
              <w:t xml:space="preserve"> (26,5 proc.), </w:t>
            </w:r>
            <w:proofErr w:type="spellStart"/>
            <w:r>
              <w:rPr>
                <w:lang w:val="en-US"/>
              </w:rPr>
              <w:t>profesines</w:t>
            </w:r>
            <w:proofErr w:type="spellEnd"/>
            <w:r>
              <w:rPr>
                <w:lang w:val="en-US"/>
              </w:rPr>
              <w:t xml:space="preserve"> </w:t>
            </w:r>
            <w:proofErr w:type="spellStart"/>
            <w:r>
              <w:rPr>
                <w:lang w:val="en-US"/>
              </w:rPr>
              <w:t>mokyklas</w:t>
            </w:r>
            <w:proofErr w:type="spellEnd"/>
            <w:r>
              <w:rPr>
                <w:lang w:val="en-US"/>
              </w:rPr>
              <w:t xml:space="preserve"> (9,5 proc.). Į </w:t>
            </w:r>
            <w:proofErr w:type="spellStart"/>
            <w:r>
              <w:rPr>
                <w:lang w:val="en-US"/>
              </w:rPr>
              <w:t>kitų</w:t>
            </w:r>
            <w:proofErr w:type="spellEnd"/>
            <w:r>
              <w:rPr>
                <w:lang w:val="en-US"/>
              </w:rPr>
              <w:t xml:space="preserve"> </w:t>
            </w:r>
            <w:proofErr w:type="spellStart"/>
            <w:r>
              <w:rPr>
                <w:lang w:val="en-US"/>
              </w:rPr>
              <w:t>šalių</w:t>
            </w:r>
            <w:proofErr w:type="spellEnd"/>
            <w:r>
              <w:rPr>
                <w:lang w:val="en-US"/>
              </w:rPr>
              <w:t xml:space="preserve"> </w:t>
            </w:r>
            <w:proofErr w:type="spellStart"/>
            <w:r>
              <w:rPr>
                <w:lang w:val="en-US"/>
              </w:rPr>
              <w:t>univesitetus</w:t>
            </w:r>
            <w:proofErr w:type="spellEnd"/>
            <w:r>
              <w:rPr>
                <w:lang w:val="en-US"/>
              </w:rPr>
              <w:t xml:space="preserve"> </w:t>
            </w:r>
            <w:proofErr w:type="spellStart"/>
            <w:r>
              <w:rPr>
                <w:lang w:val="en-US"/>
              </w:rPr>
              <w:t>įstaojo</w:t>
            </w:r>
            <w:proofErr w:type="spellEnd"/>
            <w:r>
              <w:rPr>
                <w:lang w:val="en-US"/>
              </w:rPr>
              <w:t xml:space="preserve"> 3</w:t>
            </w:r>
            <w:proofErr w:type="gramStart"/>
            <w:r>
              <w:rPr>
                <w:lang w:val="en-US"/>
              </w:rPr>
              <w:t>,5</w:t>
            </w:r>
            <w:proofErr w:type="gramEnd"/>
            <w:r>
              <w:rPr>
                <w:lang w:val="en-US"/>
              </w:rPr>
              <w:t xml:space="preserve"> proc. </w:t>
            </w:r>
            <w:proofErr w:type="spellStart"/>
            <w:r w:rsidR="00423FD5">
              <w:rPr>
                <w:lang w:val="en-US"/>
              </w:rPr>
              <w:t>b</w:t>
            </w:r>
            <w:r>
              <w:rPr>
                <w:lang w:val="en-US"/>
              </w:rPr>
              <w:t>aigusiųjų</w:t>
            </w:r>
            <w:proofErr w:type="spellEnd"/>
            <w:r w:rsidR="00423FD5">
              <w:rPr>
                <w:lang w:val="en-US"/>
              </w:rPr>
              <w:t>.</w:t>
            </w:r>
          </w:p>
          <w:p w:rsidR="00BD3C54" w:rsidRDefault="00D70901" w:rsidP="006058C3">
            <w:pPr>
              <w:pStyle w:val="Default"/>
              <w:tabs>
                <w:tab w:val="left" w:pos="567"/>
              </w:tabs>
              <w:jc w:val="both"/>
            </w:pPr>
            <w:proofErr w:type="spellStart"/>
            <w:r>
              <w:rPr>
                <w:lang w:val="en-US"/>
              </w:rPr>
              <w:t>Panagrinėjus</w:t>
            </w:r>
            <w:proofErr w:type="spellEnd"/>
            <w:r>
              <w:rPr>
                <w:lang w:val="en-US"/>
              </w:rPr>
              <w:t xml:space="preserve"> </w:t>
            </w:r>
            <w:r>
              <w:t>statistin</w:t>
            </w:r>
            <w:r w:rsidR="00E36832">
              <w:t>ius duomenis</w:t>
            </w:r>
            <w:r>
              <w:t xml:space="preserve">, galime teigti, kad </w:t>
            </w:r>
            <w:proofErr w:type="spellStart"/>
            <w:r>
              <w:rPr>
                <w:lang w:val="en-US"/>
              </w:rPr>
              <w:t>mažėja</w:t>
            </w:r>
            <w:proofErr w:type="spellEnd"/>
            <w:r>
              <w:rPr>
                <w:lang w:val="en-US"/>
              </w:rPr>
              <w:t xml:space="preserve"> </w:t>
            </w:r>
            <w:proofErr w:type="spellStart"/>
            <w:r w:rsidR="00423FD5">
              <w:rPr>
                <w:lang w:val="en-US"/>
              </w:rPr>
              <w:t>jaunuolių</w:t>
            </w:r>
            <w:proofErr w:type="spellEnd"/>
            <w:r w:rsidR="00423FD5">
              <w:rPr>
                <w:lang w:val="en-US"/>
              </w:rPr>
              <w:t xml:space="preserve">, </w:t>
            </w:r>
            <w:proofErr w:type="spellStart"/>
            <w:r w:rsidR="00423FD5">
              <w:rPr>
                <w:lang w:val="en-US"/>
              </w:rPr>
              <w:t>įgijusių</w:t>
            </w:r>
            <w:proofErr w:type="spellEnd"/>
            <w:r w:rsidR="00423FD5">
              <w:rPr>
                <w:lang w:val="en-US"/>
              </w:rPr>
              <w:t xml:space="preserve"> </w:t>
            </w:r>
            <w:proofErr w:type="spellStart"/>
            <w:r w:rsidR="00423FD5">
              <w:rPr>
                <w:lang w:val="en-US"/>
              </w:rPr>
              <w:t>vidurinį</w:t>
            </w:r>
            <w:proofErr w:type="spellEnd"/>
            <w:r w:rsidR="00423FD5">
              <w:rPr>
                <w:lang w:val="en-US"/>
              </w:rPr>
              <w:t xml:space="preserve"> </w:t>
            </w:r>
            <w:proofErr w:type="spellStart"/>
            <w:r w:rsidR="00423FD5">
              <w:rPr>
                <w:lang w:val="en-US"/>
              </w:rPr>
              <w:t>išsilavinimą</w:t>
            </w:r>
            <w:proofErr w:type="spellEnd"/>
            <w:r w:rsidR="00423FD5">
              <w:rPr>
                <w:lang w:val="en-US"/>
              </w:rPr>
              <w:t xml:space="preserve"> </w:t>
            </w:r>
            <w:proofErr w:type="spellStart"/>
            <w:proofErr w:type="gramStart"/>
            <w:r w:rsidR="00423FD5">
              <w:rPr>
                <w:lang w:val="en-US"/>
              </w:rPr>
              <w:t>ir</w:t>
            </w:r>
            <w:proofErr w:type="spellEnd"/>
            <w:r w:rsidR="00423FD5">
              <w:rPr>
                <w:lang w:val="en-US"/>
              </w:rPr>
              <w:t xml:space="preserve"> </w:t>
            </w:r>
            <w:r>
              <w:rPr>
                <w:lang w:val="en-US"/>
              </w:rPr>
              <w:t xml:space="preserve"> </w:t>
            </w:r>
            <w:proofErr w:type="spellStart"/>
            <w:r>
              <w:rPr>
                <w:lang w:val="en-US"/>
              </w:rPr>
              <w:t>renkasi</w:t>
            </w:r>
            <w:proofErr w:type="spellEnd"/>
            <w:proofErr w:type="gramEnd"/>
            <w:r>
              <w:rPr>
                <w:lang w:val="en-US"/>
              </w:rPr>
              <w:t xml:space="preserve"> </w:t>
            </w:r>
            <w:proofErr w:type="spellStart"/>
            <w:r>
              <w:rPr>
                <w:lang w:val="en-US"/>
              </w:rPr>
              <w:t>st</w:t>
            </w:r>
            <w:r w:rsidR="006058C3">
              <w:rPr>
                <w:lang w:val="en-US"/>
              </w:rPr>
              <w:t>udijas</w:t>
            </w:r>
            <w:proofErr w:type="spellEnd"/>
            <w:r w:rsidR="006058C3">
              <w:rPr>
                <w:lang w:val="en-US"/>
              </w:rPr>
              <w:t xml:space="preserve"> </w:t>
            </w:r>
            <w:proofErr w:type="spellStart"/>
            <w:r w:rsidR="006058C3">
              <w:rPr>
                <w:lang w:val="en-US"/>
              </w:rPr>
              <w:t>univers</w:t>
            </w:r>
            <w:r w:rsidR="00A22C1D">
              <w:rPr>
                <w:lang w:val="en-US"/>
              </w:rPr>
              <w:t>itetuose</w:t>
            </w:r>
            <w:proofErr w:type="spellEnd"/>
            <w:r w:rsidR="00A22C1D">
              <w:rPr>
                <w:lang w:val="en-US"/>
              </w:rPr>
              <w:t xml:space="preserve"> </w:t>
            </w:r>
            <w:proofErr w:type="spellStart"/>
            <w:r w:rsidR="00423FD5">
              <w:rPr>
                <w:lang w:val="en-US"/>
              </w:rPr>
              <w:t>bei</w:t>
            </w:r>
            <w:proofErr w:type="spellEnd"/>
            <w:r w:rsidR="00423FD5">
              <w:rPr>
                <w:lang w:val="en-US"/>
              </w:rPr>
              <w:t xml:space="preserve"> </w:t>
            </w:r>
            <w:r w:rsidR="00A22C1D">
              <w:rPr>
                <w:lang w:val="en-US"/>
              </w:rPr>
              <w:t xml:space="preserve"> </w:t>
            </w:r>
            <w:proofErr w:type="spellStart"/>
            <w:r w:rsidR="00A22C1D">
              <w:rPr>
                <w:lang w:val="en-US"/>
              </w:rPr>
              <w:t>kolegi</w:t>
            </w:r>
            <w:r>
              <w:rPr>
                <w:lang w:val="en-US"/>
              </w:rPr>
              <w:t>jose</w:t>
            </w:r>
            <w:proofErr w:type="spellEnd"/>
            <w:r>
              <w:rPr>
                <w:lang w:val="en-US"/>
              </w:rPr>
              <w:t xml:space="preserve">, </w:t>
            </w:r>
            <w:r w:rsidR="00423FD5">
              <w:rPr>
                <w:lang w:val="en-US"/>
              </w:rPr>
              <w:t xml:space="preserve"> bet </w:t>
            </w:r>
            <w:proofErr w:type="spellStart"/>
            <w:r>
              <w:rPr>
                <w:lang w:val="en-US"/>
              </w:rPr>
              <w:t>auga</w:t>
            </w:r>
            <w:proofErr w:type="spellEnd"/>
            <w:r w:rsidR="00E36832">
              <w:rPr>
                <w:lang w:val="en-US"/>
              </w:rPr>
              <w:t xml:space="preserve"> </w:t>
            </w:r>
            <w:proofErr w:type="spellStart"/>
            <w:r w:rsidR="00E36832">
              <w:rPr>
                <w:lang w:val="en-US"/>
              </w:rPr>
              <w:t>skaičius</w:t>
            </w:r>
            <w:proofErr w:type="spellEnd"/>
            <w:r w:rsidR="00E36832">
              <w:rPr>
                <w:lang w:val="en-US"/>
              </w:rPr>
              <w:t xml:space="preserve"> </w:t>
            </w:r>
            <w:proofErr w:type="spellStart"/>
            <w:r w:rsidR="00E36832">
              <w:rPr>
                <w:lang w:val="en-US"/>
              </w:rPr>
              <w:t>pasirin</w:t>
            </w:r>
            <w:r>
              <w:rPr>
                <w:lang w:val="en-US"/>
              </w:rPr>
              <w:t>ku</w:t>
            </w:r>
            <w:r w:rsidR="00E36832">
              <w:rPr>
                <w:lang w:val="en-US"/>
              </w:rPr>
              <w:t>siųjų</w:t>
            </w:r>
            <w:proofErr w:type="spellEnd"/>
            <w:r>
              <w:rPr>
                <w:lang w:val="en-US"/>
              </w:rPr>
              <w:t xml:space="preserve"> </w:t>
            </w:r>
            <w:proofErr w:type="spellStart"/>
            <w:r>
              <w:rPr>
                <w:lang w:val="en-US"/>
              </w:rPr>
              <w:t>studijas</w:t>
            </w:r>
            <w:proofErr w:type="spellEnd"/>
            <w:r>
              <w:rPr>
                <w:lang w:val="en-US"/>
              </w:rPr>
              <w:t xml:space="preserve">  </w:t>
            </w:r>
            <w:proofErr w:type="spellStart"/>
            <w:r>
              <w:rPr>
                <w:lang w:val="en-US"/>
              </w:rPr>
              <w:t>profesinėse</w:t>
            </w:r>
            <w:proofErr w:type="spellEnd"/>
            <w:r>
              <w:rPr>
                <w:lang w:val="en-US"/>
              </w:rPr>
              <w:t xml:space="preserve"> </w:t>
            </w:r>
            <w:proofErr w:type="spellStart"/>
            <w:r>
              <w:rPr>
                <w:lang w:val="en-US"/>
              </w:rPr>
              <w:t>mokykl</w:t>
            </w:r>
            <w:r w:rsidR="00A22C1D">
              <w:rPr>
                <w:lang w:val="en-US"/>
              </w:rPr>
              <w:t>ose</w:t>
            </w:r>
            <w:proofErr w:type="spellEnd"/>
            <w:r w:rsidR="00A22C1D">
              <w:rPr>
                <w:lang w:val="en-US"/>
              </w:rPr>
              <w:t xml:space="preserve">. </w:t>
            </w:r>
            <w:proofErr w:type="spellStart"/>
            <w:r w:rsidR="00A22C1D">
              <w:rPr>
                <w:lang w:val="en-US"/>
              </w:rPr>
              <w:t>Nemaža</w:t>
            </w:r>
            <w:proofErr w:type="spellEnd"/>
            <w:r w:rsidR="00A22C1D">
              <w:rPr>
                <w:lang w:val="en-US"/>
              </w:rPr>
              <w:t xml:space="preserve"> </w:t>
            </w:r>
            <w:proofErr w:type="spellStart"/>
            <w:r w:rsidR="00A22C1D">
              <w:rPr>
                <w:lang w:val="en-US"/>
              </w:rPr>
              <w:t>dalis</w:t>
            </w:r>
            <w:proofErr w:type="spellEnd"/>
            <w:r w:rsidR="00423FD5">
              <w:rPr>
                <w:lang w:val="en-US"/>
              </w:rPr>
              <w:t xml:space="preserve"> </w:t>
            </w:r>
            <w:proofErr w:type="spellStart"/>
            <w:proofErr w:type="gramStart"/>
            <w:r w:rsidR="00423FD5">
              <w:rPr>
                <w:lang w:val="en-US"/>
              </w:rPr>
              <w:t>baigusiųjų</w:t>
            </w:r>
            <w:proofErr w:type="spellEnd"/>
            <w:r w:rsidR="00423FD5">
              <w:rPr>
                <w:lang w:val="en-US"/>
              </w:rPr>
              <w:t xml:space="preserve">  </w:t>
            </w:r>
            <w:proofErr w:type="spellStart"/>
            <w:r w:rsidR="00423FD5">
              <w:rPr>
                <w:lang w:val="en-US"/>
              </w:rPr>
              <w:t>įsidarbina</w:t>
            </w:r>
            <w:proofErr w:type="spellEnd"/>
            <w:proofErr w:type="gramEnd"/>
            <w:r w:rsidR="00423FD5">
              <w:rPr>
                <w:lang w:val="en-US"/>
              </w:rPr>
              <w:t xml:space="preserve"> </w:t>
            </w:r>
            <w:proofErr w:type="spellStart"/>
            <w:r w:rsidR="00423FD5">
              <w:rPr>
                <w:lang w:val="en-US"/>
              </w:rPr>
              <w:t>ar</w:t>
            </w:r>
            <w:proofErr w:type="spellEnd"/>
            <w:r w:rsidR="00A22C1D">
              <w:rPr>
                <w:lang w:val="en-US"/>
              </w:rPr>
              <w:t xml:space="preserve"> </w:t>
            </w:r>
            <w:proofErr w:type="spellStart"/>
            <w:r w:rsidR="00E36832">
              <w:rPr>
                <w:lang w:val="en-US"/>
              </w:rPr>
              <w:t>atlieka</w:t>
            </w:r>
            <w:proofErr w:type="spellEnd"/>
            <w:r w:rsidR="00E36832">
              <w:rPr>
                <w:lang w:val="en-US"/>
              </w:rPr>
              <w:t xml:space="preserve"> </w:t>
            </w:r>
            <w:r w:rsidR="00A22C1D">
              <w:rPr>
                <w:lang w:val="en-US"/>
              </w:rPr>
              <w:t xml:space="preserve"> </w:t>
            </w:r>
            <w:proofErr w:type="spellStart"/>
            <w:r w:rsidR="00A22C1D">
              <w:rPr>
                <w:lang w:val="en-US"/>
              </w:rPr>
              <w:t>karo</w:t>
            </w:r>
            <w:proofErr w:type="spellEnd"/>
            <w:r w:rsidR="00A22C1D">
              <w:rPr>
                <w:lang w:val="en-US"/>
              </w:rPr>
              <w:t xml:space="preserve"> </w:t>
            </w:r>
            <w:proofErr w:type="spellStart"/>
            <w:r w:rsidR="00A22C1D">
              <w:rPr>
                <w:lang w:val="en-US"/>
              </w:rPr>
              <w:t>tarnybą</w:t>
            </w:r>
            <w:proofErr w:type="spellEnd"/>
            <w:r w:rsidR="00423FD5">
              <w:rPr>
                <w:lang w:val="en-US"/>
              </w:rPr>
              <w:t>.</w:t>
            </w:r>
            <w:r w:rsidR="00A22C1D">
              <w:rPr>
                <w:lang w:val="en-US"/>
              </w:rPr>
              <w:t xml:space="preserve"> </w:t>
            </w:r>
          </w:p>
        </w:tc>
      </w:tr>
    </w:tbl>
    <w:p w:rsidR="00092995" w:rsidRDefault="00092995" w:rsidP="001E13DA">
      <w:pPr>
        <w:pStyle w:val="Default"/>
        <w:tabs>
          <w:tab w:val="left" w:pos="567"/>
        </w:tabs>
        <w:jc w:val="center"/>
      </w:pPr>
    </w:p>
    <w:p w:rsidR="00423FD5" w:rsidRDefault="00423FD5" w:rsidP="001E13DA">
      <w:pPr>
        <w:pStyle w:val="Default"/>
        <w:tabs>
          <w:tab w:val="left" w:pos="567"/>
        </w:tabs>
        <w:jc w:val="center"/>
      </w:pPr>
    </w:p>
    <w:p w:rsidR="00423FD5" w:rsidRDefault="00423FD5" w:rsidP="001E13DA">
      <w:pPr>
        <w:pStyle w:val="Default"/>
        <w:tabs>
          <w:tab w:val="left" w:pos="567"/>
        </w:tabs>
        <w:jc w:val="center"/>
      </w:pPr>
    </w:p>
    <w:p w:rsidR="00423FD5" w:rsidRDefault="00423FD5" w:rsidP="001E13DA">
      <w:pPr>
        <w:pStyle w:val="Default"/>
        <w:tabs>
          <w:tab w:val="left" w:pos="567"/>
        </w:tabs>
        <w:jc w:val="center"/>
      </w:pPr>
    </w:p>
    <w:p w:rsidR="00423FD5" w:rsidRDefault="00423FD5" w:rsidP="001E13DA">
      <w:pPr>
        <w:pStyle w:val="Default"/>
        <w:tabs>
          <w:tab w:val="left" w:pos="567"/>
        </w:tabs>
        <w:jc w:val="center"/>
      </w:pPr>
    </w:p>
    <w:p w:rsidR="00423FD5" w:rsidRDefault="00423FD5" w:rsidP="001E13DA">
      <w:pPr>
        <w:pStyle w:val="Default"/>
        <w:tabs>
          <w:tab w:val="left" w:pos="567"/>
        </w:tabs>
        <w:jc w:val="center"/>
      </w:pPr>
    </w:p>
    <w:p w:rsidR="00423FD5" w:rsidRDefault="00423FD5" w:rsidP="001E13DA">
      <w:pPr>
        <w:pStyle w:val="Default"/>
        <w:tabs>
          <w:tab w:val="left" w:pos="567"/>
        </w:tabs>
        <w:jc w:val="center"/>
      </w:pPr>
    </w:p>
    <w:p w:rsidR="00092995" w:rsidRDefault="00A22C1D" w:rsidP="001E13DA">
      <w:pPr>
        <w:pStyle w:val="Default"/>
        <w:tabs>
          <w:tab w:val="left" w:pos="567"/>
        </w:tabs>
        <w:jc w:val="center"/>
        <w:rPr>
          <w:b/>
          <w:lang w:val="en-US"/>
        </w:rPr>
      </w:pPr>
      <w:r>
        <w:rPr>
          <w:b/>
          <w:lang w:val="en-US"/>
        </w:rPr>
        <w:t>ŠVIETIMO   IŠ</w:t>
      </w:r>
      <w:r w:rsidRPr="00A22C1D">
        <w:rPr>
          <w:b/>
          <w:lang w:val="en-US"/>
        </w:rPr>
        <w:t>TEKLIAI</w:t>
      </w:r>
    </w:p>
    <w:p w:rsidR="00A22C1D" w:rsidRDefault="00A22C1D" w:rsidP="001E13DA">
      <w:pPr>
        <w:pStyle w:val="Default"/>
        <w:tabs>
          <w:tab w:val="left" w:pos="567"/>
        </w:tabs>
        <w:jc w:val="center"/>
        <w:rPr>
          <w:b/>
          <w:lang w:val="en-US"/>
        </w:rPr>
      </w:pPr>
    </w:p>
    <w:tbl>
      <w:tblPr>
        <w:tblStyle w:val="Lentelstinklelis"/>
        <w:tblW w:w="0" w:type="auto"/>
        <w:tblLook w:val="04A0" w:firstRow="1" w:lastRow="0" w:firstColumn="1" w:lastColumn="0" w:noHBand="0" w:noVBand="1"/>
      </w:tblPr>
      <w:tblGrid>
        <w:gridCol w:w="1668"/>
        <w:gridCol w:w="2268"/>
        <w:gridCol w:w="5244"/>
        <w:gridCol w:w="5039"/>
      </w:tblGrid>
      <w:tr w:rsidR="002143D8" w:rsidTr="00A22C1D">
        <w:tc>
          <w:tcPr>
            <w:tcW w:w="1668" w:type="dxa"/>
          </w:tcPr>
          <w:p w:rsidR="00A22C1D" w:rsidRPr="00E36832" w:rsidRDefault="00A22C1D" w:rsidP="0087390D">
            <w:pPr>
              <w:pStyle w:val="Default"/>
              <w:tabs>
                <w:tab w:val="left" w:pos="567"/>
              </w:tabs>
              <w:jc w:val="center"/>
            </w:pPr>
            <w:r w:rsidRPr="00E36832">
              <w:t>Rodiklis</w:t>
            </w:r>
          </w:p>
        </w:tc>
        <w:tc>
          <w:tcPr>
            <w:tcW w:w="2268" w:type="dxa"/>
          </w:tcPr>
          <w:p w:rsidR="00A22C1D" w:rsidRPr="00E36832" w:rsidRDefault="00A22C1D" w:rsidP="0087390D">
            <w:pPr>
              <w:pStyle w:val="Default"/>
              <w:tabs>
                <w:tab w:val="left" w:pos="567"/>
              </w:tabs>
              <w:jc w:val="center"/>
              <w:rPr>
                <w:lang w:val="en-US"/>
              </w:rPr>
            </w:pPr>
            <w:r w:rsidRPr="00E36832">
              <w:t>Siekinys 2020 m.</w:t>
            </w:r>
          </w:p>
        </w:tc>
        <w:tc>
          <w:tcPr>
            <w:tcW w:w="5244" w:type="dxa"/>
          </w:tcPr>
          <w:p w:rsidR="00A22C1D" w:rsidRPr="00E36832" w:rsidRDefault="00A22C1D" w:rsidP="0087390D">
            <w:pPr>
              <w:pStyle w:val="Default"/>
              <w:tabs>
                <w:tab w:val="left" w:pos="567"/>
              </w:tabs>
              <w:jc w:val="center"/>
            </w:pPr>
            <w:r w:rsidRPr="00E36832">
              <w:t>Pasiektas rezultatas 2018 m.</w:t>
            </w:r>
          </w:p>
        </w:tc>
        <w:tc>
          <w:tcPr>
            <w:tcW w:w="5039" w:type="dxa"/>
          </w:tcPr>
          <w:p w:rsidR="00A22C1D" w:rsidRPr="00E36832" w:rsidRDefault="00A22C1D" w:rsidP="0087390D">
            <w:pPr>
              <w:pStyle w:val="Default"/>
              <w:tabs>
                <w:tab w:val="left" w:pos="567"/>
              </w:tabs>
              <w:jc w:val="center"/>
            </w:pPr>
            <w:r w:rsidRPr="00E36832">
              <w:t>Išvados ir komentaras</w:t>
            </w:r>
          </w:p>
        </w:tc>
      </w:tr>
      <w:tr w:rsidR="002143D8" w:rsidTr="00A22C1D">
        <w:tc>
          <w:tcPr>
            <w:tcW w:w="1668" w:type="dxa"/>
          </w:tcPr>
          <w:p w:rsidR="00A22C1D" w:rsidRPr="00E36832" w:rsidRDefault="002143D8" w:rsidP="002143D8">
            <w:pPr>
              <w:pStyle w:val="Default"/>
              <w:tabs>
                <w:tab w:val="left" w:pos="567"/>
              </w:tabs>
            </w:pPr>
            <w:r w:rsidRPr="00E36832">
              <w:t>Papildomas švietimo finansavimas</w:t>
            </w:r>
          </w:p>
        </w:tc>
        <w:tc>
          <w:tcPr>
            <w:tcW w:w="2268" w:type="dxa"/>
          </w:tcPr>
          <w:p w:rsidR="00515549" w:rsidRDefault="00515549" w:rsidP="00515549">
            <w:pPr>
              <w:pStyle w:val="Default"/>
              <w:tabs>
                <w:tab w:val="left" w:pos="567"/>
              </w:tabs>
            </w:pPr>
            <w:r>
              <w:t>Maksimali reikš</w:t>
            </w:r>
            <w:r w:rsidRPr="00D95FC5">
              <w:t>m</w:t>
            </w:r>
            <w:r>
              <w:t xml:space="preserve">ė-  </w:t>
            </w:r>
            <w:r>
              <w:rPr>
                <w:lang w:val="en-US"/>
              </w:rPr>
              <w:t>1</w:t>
            </w:r>
            <w:r>
              <w:t xml:space="preserve">00 </w:t>
            </w:r>
            <w:r w:rsidRPr="00D95FC5">
              <w:t>proc.</w:t>
            </w:r>
          </w:p>
          <w:p w:rsidR="00A22C1D" w:rsidRPr="00E36832" w:rsidRDefault="00515549" w:rsidP="00515549">
            <w:pPr>
              <w:pStyle w:val="Default"/>
              <w:tabs>
                <w:tab w:val="left" w:pos="567"/>
              </w:tabs>
            </w:pPr>
            <w:r w:rsidRPr="00D95FC5">
              <w:t xml:space="preserve"> </w:t>
            </w:r>
            <w:r w:rsidR="002143D8" w:rsidRPr="00E36832">
              <w:t>Siekti, kad  visos mokyklos  dalyvautų  projektuose</w:t>
            </w:r>
          </w:p>
        </w:tc>
        <w:tc>
          <w:tcPr>
            <w:tcW w:w="5244" w:type="dxa"/>
          </w:tcPr>
          <w:p w:rsidR="00A22C1D" w:rsidRPr="00E36832" w:rsidRDefault="002143D8" w:rsidP="002143D8">
            <w:pPr>
              <w:pStyle w:val="Default"/>
              <w:tabs>
                <w:tab w:val="left" w:pos="567"/>
              </w:tabs>
              <w:rPr>
                <w:lang w:val="en-US"/>
              </w:rPr>
            </w:pPr>
            <w:r w:rsidRPr="00E36832">
              <w:t xml:space="preserve">Šalies ir tarptautiniuose </w:t>
            </w:r>
            <w:r w:rsidR="007118C1">
              <w:t xml:space="preserve"> švietimo </w:t>
            </w:r>
            <w:r w:rsidRPr="00E36832">
              <w:t xml:space="preserve">projektuose 2018 m.  dalyvavo  </w:t>
            </w:r>
            <w:r w:rsidRPr="00E36832">
              <w:rPr>
                <w:lang w:val="en-US"/>
              </w:rPr>
              <w:t xml:space="preserve">12 </w:t>
            </w:r>
            <w:proofErr w:type="spellStart"/>
            <w:r w:rsidRPr="00E36832">
              <w:rPr>
                <w:lang w:val="en-US"/>
              </w:rPr>
              <w:t>bendrojo</w:t>
            </w:r>
            <w:proofErr w:type="spellEnd"/>
            <w:r w:rsidRPr="00E36832">
              <w:rPr>
                <w:lang w:val="en-US"/>
              </w:rPr>
              <w:t xml:space="preserve"> </w:t>
            </w:r>
            <w:proofErr w:type="spellStart"/>
            <w:r w:rsidRPr="00E36832">
              <w:rPr>
                <w:lang w:val="en-US"/>
              </w:rPr>
              <w:t>ugdymo</w:t>
            </w:r>
            <w:proofErr w:type="spellEnd"/>
            <w:r w:rsidRPr="00E36832">
              <w:rPr>
                <w:lang w:val="en-US"/>
              </w:rPr>
              <w:t xml:space="preserve"> </w:t>
            </w:r>
            <w:proofErr w:type="spellStart"/>
            <w:r w:rsidRPr="00E36832">
              <w:rPr>
                <w:lang w:val="en-US"/>
              </w:rPr>
              <w:t>mokykl</w:t>
            </w:r>
            <w:proofErr w:type="spellEnd"/>
            <w:r w:rsidRPr="00E36832">
              <w:t>ų</w:t>
            </w:r>
            <w:r w:rsidRPr="00E36832">
              <w:rPr>
                <w:lang w:val="en-US"/>
              </w:rPr>
              <w:t>.</w:t>
            </w:r>
          </w:p>
        </w:tc>
        <w:tc>
          <w:tcPr>
            <w:tcW w:w="5039" w:type="dxa"/>
          </w:tcPr>
          <w:p w:rsidR="00A22C1D" w:rsidRPr="00E36832" w:rsidRDefault="00E36832" w:rsidP="006058C3">
            <w:pPr>
              <w:pStyle w:val="Default"/>
              <w:tabs>
                <w:tab w:val="left" w:pos="567"/>
              </w:tabs>
            </w:pPr>
            <w:r>
              <w:rPr>
                <w:lang w:val="en-US"/>
              </w:rPr>
              <w:t xml:space="preserve">91,7 proc, </w:t>
            </w:r>
            <w:proofErr w:type="spellStart"/>
            <w:r>
              <w:rPr>
                <w:lang w:val="en-US"/>
              </w:rPr>
              <w:t>b</w:t>
            </w:r>
            <w:r w:rsidR="007118C1">
              <w:rPr>
                <w:lang w:val="en-US"/>
              </w:rPr>
              <w:t>e</w:t>
            </w:r>
            <w:r>
              <w:rPr>
                <w:lang w:val="en-US"/>
              </w:rPr>
              <w:t>ndrojo</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mokykl</w:t>
            </w:r>
            <w:proofErr w:type="spellEnd"/>
            <w:r>
              <w:t xml:space="preserve">ų dalyvauja  </w:t>
            </w:r>
            <w:r w:rsidR="007118C1">
              <w:rPr>
                <w:lang w:val="en-US"/>
              </w:rPr>
              <w:t xml:space="preserve">41 </w:t>
            </w:r>
            <w:r w:rsidR="00423FD5">
              <w:t>šalyje</w:t>
            </w:r>
            <w:r w:rsidR="00423FD5">
              <w:rPr>
                <w:lang w:val="en-US"/>
              </w:rPr>
              <w:t xml:space="preserve"> </w:t>
            </w:r>
            <w:proofErr w:type="spellStart"/>
            <w:r w:rsidR="007118C1">
              <w:rPr>
                <w:lang w:val="en-US"/>
              </w:rPr>
              <w:t>vykdom</w:t>
            </w:r>
            <w:r w:rsidR="006058C3">
              <w:rPr>
                <w:lang w:val="en-US"/>
              </w:rPr>
              <w:t>ame</w:t>
            </w:r>
            <w:proofErr w:type="spellEnd"/>
            <w:r w:rsidR="006058C3">
              <w:rPr>
                <w:lang w:val="en-US"/>
              </w:rPr>
              <w:t xml:space="preserve"> </w:t>
            </w:r>
            <w:r w:rsidR="007118C1">
              <w:rPr>
                <w:lang w:val="en-US"/>
              </w:rPr>
              <w:t xml:space="preserve"> </w:t>
            </w:r>
            <w:r>
              <w:t>projekt</w:t>
            </w:r>
            <w:r w:rsidR="006058C3">
              <w:t>e</w:t>
            </w:r>
            <w:bookmarkStart w:id="0" w:name="_GoBack"/>
            <w:bookmarkEnd w:id="0"/>
            <w:r w:rsidR="007118C1">
              <w:t>.</w:t>
            </w:r>
            <w:r>
              <w:t xml:space="preserve"> </w:t>
            </w:r>
            <w:r w:rsidR="007118C1">
              <w:t xml:space="preserve"> 6 mokyklos („Saulės“, </w:t>
            </w:r>
            <w:proofErr w:type="spellStart"/>
            <w:r w:rsidR="007118C1">
              <w:t>Dauniškio</w:t>
            </w:r>
            <w:proofErr w:type="spellEnd"/>
            <w:r w:rsidR="007118C1">
              <w:t>, Adolfo Šapokos gimnazijos,  Krašuonos, Rapolo Šaltenio ir Vyturių progimnazijos) aktyviai  rengia, įgyvendina ir  dalyvauja tarptautiniuose edukaciniuose projektuose.</w:t>
            </w:r>
          </w:p>
        </w:tc>
      </w:tr>
      <w:tr w:rsidR="002143D8" w:rsidTr="00A22C1D">
        <w:tc>
          <w:tcPr>
            <w:tcW w:w="1668" w:type="dxa"/>
          </w:tcPr>
          <w:p w:rsidR="00A22C1D" w:rsidRPr="002143D8" w:rsidRDefault="002143D8" w:rsidP="002143D8">
            <w:pPr>
              <w:pStyle w:val="Default"/>
              <w:tabs>
                <w:tab w:val="left" w:pos="567"/>
              </w:tabs>
            </w:pPr>
            <w:r>
              <w:t>Švietimo žmogiškieji ištekliai</w:t>
            </w:r>
          </w:p>
        </w:tc>
        <w:tc>
          <w:tcPr>
            <w:tcW w:w="2268" w:type="dxa"/>
          </w:tcPr>
          <w:p w:rsidR="00515549" w:rsidRDefault="00515549" w:rsidP="007118C1">
            <w:pPr>
              <w:pStyle w:val="Default"/>
              <w:tabs>
                <w:tab w:val="left" w:pos="567"/>
              </w:tabs>
            </w:pPr>
            <w:r>
              <w:t>Maksimali reikš</w:t>
            </w:r>
            <w:r w:rsidRPr="00D95FC5">
              <w:t>m</w:t>
            </w:r>
            <w:r>
              <w:t>ė-  6</w:t>
            </w:r>
            <w:r w:rsidRPr="00D95FC5">
              <w:t xml:space="preserve">0 proc. </w:t>
            </w:r>
          </w:p>
          <w:p w:rsidR="00A22C1D" w:rsidRPr="007118C1" w:rsidRDefault="007118C1" w:rsidP="00515549">
            <w:pPr>
              <w:pStyle w:val="Default"/>
              <w:tabs>
                <w:tab w:val="left" w:pos="567"/>
              </w:tabs>
            </w:pPr>
            <w:r w:rsidRPr="007118C1">
              <w:t xml:space="preserve">Siekti, kad  didėtų mokytojų  darbo užmokestis ir skaičius dirbančių </w:t>
            </w:r>
            <w:r w:rsidR="00515549">
              <w:t xml:space="preserve">visu </w:t>
            </w:r>
            <w:r w:rsidRPr="007118C1">
              <w:t>etatu</w:t>
            </w:r>
            <w:r w:rsidR="00515549">
              <w:t>.</w:t>
            </w:r>
          </w:p>
        </w:tc>
        <w:tc>
          <w:tcPr>
            <w:tcW w:w="5244" w:type="dxa"/>
          </w:tcPr>
          <w:p w:rsidR="00A22C1D" w:rsidRPr="00515549" w:rsidRDefault="007118C1" w:rsidP="00515549">
            <w:pPr>
              <w:pStyle w:val="Default"/>
              <w:tabs>
                <w:tab w:val="left" w:pos="567"/>
              </w:tabs>
            </w:pPr>
            <w:r w:rsidRPr="00515549">
              <w:t>Savivaldybėje  1000 ir daugiau eurų uždirba 176 mokytojai (</w:t>
            </w:r>
            <w:r w:rsidR="00515549" w:rsidRPr="00515549">
              <w:t>45,2 proc.) dirbančiųjų ben</w:t>
            </w:r>
            <w:r w:rsidR="00515549">
              <w:t>d</w:t>
            </w:r>
            <w:r w:rsidR="00423FD5">
              <w:t>rojo ugdymo mokyklose</w:t>
            </w:r>
            <w:r w:rsidR="00515549" w:rsidRPr="00515549">
              <w:t xml:space="preserve"> mokytojų </w:t>
            </w:r>
          </w:p>
        </w:tc>
        <w:tc>
          <w:tcPr>
            <w:tcW w:w="5039" w:type="dxa"/>
          </w:tcPr>
          <w:p w:rsidR="00515549" w:rsidRDefault="00515549" w:rsidP="00515549">
            <w:pPr>
              <w:pStyle w:val="Default"/>
              <w:tabs>
                <w:tab w:val="left" w:pos="567"/>
              </w:tabs>
            </w:pPr>
            <w:r w:rsidRPr="00515549">
              <w:t>Savivaldybėje</w:t>
            </w:r>
            <w:r>
              <w:t xml:space="preserve"> 93 (23,9 proc.)</w:t>
            </w:r>
            <w:r w:rsidRPr="00515549">
              <w:t xml:space="preserve"> ben</w:t>
            </w:r>
            <w:r>
              <w:t>d</w:t>
            </w:r>
            <w:r w:rsidRPr="00515549">
              <w:t>rojo ugdymo mokyklų</w:t>
            </w:r>
            <w:r>
              <w:t xml:space="preserve"> mokytojai uždirba  iki 499  eurų,  </w:t>
            </w:r>
            <w:r w:rsidR="00423FD5">
              <w:t xml:space="preserve">nes </w:t>
            </w:r>
            <w:r>
              <w:t>dirba  nepilnu darbo krūviu.</w:t>
            </w:r>
          </w:p>
          <w:p w:rsidR="00A22C1D" w:rsidRPr="00515549" w:rsidRDefault="00A22C1D" w:rsidP="00515549">
            <w:pPr>
              <w:pStyle w:val="Default"/>
              <w:tabs>
                <w:tab w:val="left" w:pos="567"/>
              </w:tabs>
              <w:rPr>
                <w:b/>
                <w:lang w:val="en-US"/>
              </w:rPr>
            </w:pPr>
          </w:p>
        </w:tc>
      </w:tr>
    </w:tbl>
    <w:p w:rsidR="00A22C1D" w:rsidRPr="00A22C1D" w:rsidRDefault="00A22C1D" w:rsidP="001E13DA">
      <w:pPr>
        <w:pStyle w:val="Default"/>
        <w:tabs>
          <w:tab w:val="left" w:pos="567"/>
        </w:tabs>
        <w:jc w:val="center"/>
        <w:rPr>
          <w:b/>
        </w:rPr>
      </w:pPr>
    </w:p>
    <w:p w:rsidR="00092995" w:rsidRDefault="00092995" w:rsidP="001E13DA">
      <w:pPr>
        <w:pStyle w:val="Default"/>
        <w:tabs>
          <w:tab w:val="left" w:pos="567"/>
        </w:tabs>
        <w:jc w:val="center"/>
      </w:pPr>
    </w:p>
    <w:sectPr w:rsidR="00092995" w:rsidSect="00092995">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1499"/>
    <w:multiLevelType w:val="hybridMultilevel"/>
    <w:tmpl w:val="AFFE4E78"/>
    <w:lvl w:ilvl="0" w:tplc="9B544CC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2D"/>
    <w:rsid w:val="0007768C"/>
    <w:rsid w:val="00092995"/>
    <w:rsid w:val="000E5155"/>
    <w:rsid w:val="00116369"/>
    <w:rsid w:val="001B3266"/>
    <w:rsid w:val="001E13DA"/>
    <w:rsid w:val="002143D8"/>
    <w:rsid w:val="002815EE"/>
    <w:rsid w:val="00290EAC"/>
    <w:rsid w:val="002F0CB2"/>
    <w:rsid w:val="00375C67"/>
    <w:rsid w:val="003E4B24"/>
    <w:rsid w:val="003E5530"/>
    <w:rsid w:val="00407835"/>
    <w:rsid w:val="00423FD5"/>
    <w:rsid w:val="0044088F"/>
    <w:rsid w:val="0048080C"/>
    <w:rsid w:val="004A0E31"/>
    <w:rsid w:val="004C1583"/>
    <w:rsid w:val="00515549"/>
    <w:rsid w:val="00557461"/>
    <w:rsid w:val="005C29A2"/>
    <w:rsid w:val="006058C3"/>
    <w:rsid w:val="006100FB"/>
    <w:rsid w:val="006327A3"/>
    <w:rsid w:val="0066542D"/>
    <w:rsid w:val="0070421A"/>
    <w:rsid w:val="007118C1"/>
    <w:rsid w:val="007167C2"/>
    <w:rsid w:val="00727168"/>
    <w:rsid w:val="00757EEF"/>
    <w:rsid w:val="007841D5"/>
    <w:rsid w:val="007C224B"/>
    <w:rsid w:val="007C7F41"/>
    <w:rsid w:val="00897229"/>
    <w:rsid w:val="008C4950"/>
    <w:rsid w:val="008D14B2"/>
    <w:rsid w:val="00A22C1D"/>
    <w:rsid w:val="00A425B6"/>
    <w:rsid w:val="00A92F57"/>
    <w:rsid w:val="00B15EAF"/>
    <w:rsid w:val="00B307A4"/>
    <w:rsid w:val="00B73F29"/>
    <w:rsid w:val="00B769DD"/>
    <w:rsid w:val="00B8763F"/>
    <w:rsid w:val="00BA0985"/>
    <w:rsid w:val="00BD3C54"/>
    <w:rsid w:val="00BF246B"/>
    <w:rsid w:val="00BF4F6F"/>
    <w:rsid w:val="00D62203"/>
    <w:rsid w:val="00D70901"/>
    <w:rsid w:val="00D95FC5"/>
    <w:rsid w:val="00DF69D9"/>
    <w:rsid w:val="00E0379F"/>
    <w:rsid w:val="00E0406B"/>
    <w:rsid w:val="00E368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2F57"/>
    <w:pPr>
      <w:spacing w:after="160" w:line="259" w:lineRule="auto"/>
    </w:pPr>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6542D"/>
    <w:pPr>
      <w:autoSpaceDE w:val="0"/>
      <w:autoSpaceDN w:val="0"/>
      <w:adjustRightInd w:val="0"/>
      <w:spacing w:after="0" w:line="240" w:lineRule="auto"/>
    </w:pPr>
    <w:rPr>
      <w:rFonts w:cs="Times New Roman"/>
      <w:color w:val="000000"/>
      <w:szCs w:val="24"/>
    </w:rPr>
  </w:style>
  <w:style w:type="paragraph" w:styleId="prastasistinklapis">
    <w:name w:val="Normal (Web)"/>
    <w:basedOn w:val="prastasis"/>
    <w:uiPriority w:val="99"/>
    <w:semiHidden/>
    <w:unhideWhenUsed/>
    <w:rsid w:val="00B15EAF"/>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09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6327A3"/>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2F57"/>
    <w:pPr>
      <w:spacing w:after="160" w:line="259" w:lineRule="auto"/>
    </w:pPr>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6542D"/>
    <w:pPr>
      <w:autoSpaceDE w:val="0"/>
      <w:autoSpaceDN w:val="0"/>
      <w:adjustRightInd w:val="0"/>
      <w:spacing w:after="0" w:line="240" w:lineRule="auto"/>
    </w:pPr>
    <w:rPr>
      <w:rFonts w:cs="Times New Roman"/>
      <w:color w:val="000000"/>
      <w:szCs w:val="24"/>
    </w:rPr>
  </w:style>
  <w:style w:type="paragraph" w:styleId="prastasistinklapis">
    <w:name w:val="Normal (Web)"/>
    <w:basedOn w:val="prastasis"/>
    <w:uiPriority w:val="99"/>
    <w:semiHidden/>
    <w:unhideWhenUsed/>
    <w:rsid w:val="00B15EAF"/>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09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6327A3"/>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60841">
      <w:bodyDiv w:val="1"/>
      <w:marLeft w:val="0"/>
      <w:marRight w:val="0"/>
      <w:marTop w:val="0"/>
      <w:marBottom w:val="0"/>
      <w:divBdr>
        <w:top w:val="none" w:sz="0" w:space="0" w:color="auto"/>
        <w:left w:val="none" w:sz="0" w:space="0" w:color="auto"/>
        <w:bottom w:val="none" w:sz="0" w:space="0" w:color="auto"/>
        <w:right w:val="none" w:sz="0" w:space="0" w:color="auto"/>
      </w:divBdr>
    </w:div>
    <w:div w:id="516309534">
      <w:bodyDiv w:val="1"/>
      <w:marLeft w:val="0"/>
      <w:marRight w:val="0"/>
      <w:marTop w:val="0"/>
      <w:marBottom w:val="0"/>
      <w:divBdr>
        <w:top w:val="none" w:sz="0" w:space="0" w:color="auto"/>
        <w:left w:val="none" w:sz="0" w:space="0" w:color="auto"/>
        <w:bottom w:val="none" w:sz="0" w:space="0" w:color="auto"/>
        <w:right w:val="none" w:sz="0" w:space="0" w:color="auto"/>
      </w:divBdr>
    </w:div>
    <w:div w:id="845562707">
      <w:bodyDiv w:val="1"/>
      <w:marLeft w:val="0"/>
      <w:marRight w:val="0"/>
      <w:marTop w:val="0"/>
      <w:marBottom w:val="0"/>
      <w:divBdr>
        <w:top w:val="none" w:sz="0" w:space="0" w:color="auto"/>
        <w:left w:val="none" w:sz="0" w:space="0" w:color="auto"/>
        <w:bottom w:val="none" w:sz="0" w:space="0" w:color="auto"/>
        <w:right w:val="none" w:sz="0" w:space="0" w:color="auto"/>
      </w:divBdr>
    </w:div>
    <w:div w:id="15353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67E8-D65E-4847-A96B-55EE5580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7627</Words>
  <Characters>4348</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Vaitiekiene</dc:creator>
  <cp:lastModifiedBy>Raimunda</cp:lastModifiedBy>
  <cp:revision>4</cp:revision>
  <cp:lastPrinted>2019-08-19T11:34:00Z</cp:lastPrinted>
  <dcterms:created xsi:type="dcterms:W3CDTF">2019-08-02T10:30:00Z</dcterms:created>
  <dcterms:modified xsi:type="dcterms:W3CDTF">2019-08-20T08:45:00Z</dcterms:modified>
</cp:coreProperties>
</file>